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pPr>
      <w:r>
        <w:rPr>
          <w:rFonts w:cs="Arial" w:ascii="Verdana" w:hAnsi="Verdana"/>
          <w:b/>
          <w:bCs/>
          <w:smallCaps/>
          <w:color w:val="000000"/>
        </w:rPr>
        <w:t xml:space="preserve">EDITAL </w:t>
      </w:r>
    </w:p>
    <w:p>
      <w:pPr>
        <w:pStyle w:val="Normal"/>
        <w:spacing w:lineRule="auto" w:line="276"/>
        <w:jc w:val="center"/>
        <w:rPr/>
      </w:pPr>
      <w:r>
        <w:rPr>
          <w:rFonts w:cs="Arial" w:ascii="Verdana" w:hAnsi="Verdana"/>
          <w:b/>
          <w:bCs/>
          <w:smallCaps/>
          <w:color w:val="000000"/>
        </w:rPr>
        <w:t>PREGÃO ELETRÔNICO Nº 024/2025</w:t>
      </w:r>
    </w:p>
    <w:p>
      <w:pPr>
        <w:pStyle w:val="Normal"/>
        <w:spacing w:lineRule="auto" w:line="276"/>
        <w:jc w:val="center"/>
        <w:rPr>
          <w:b/>
        </w:rPr>
      </w:pPr>
      <w:r>
        <w:rPr>
          <w:rFonts w:cs="Arial" w:ascii="Verdana" w:hAnsi="Verdana"/>
          <w:b/>
          <w:smallCaps/>
          <w:color w:val="000000"/>
        </w:rPr>
        <w:t>(Processo Administrativo n° 2734/2025 de 09/04/2025)</w:t>
      </w:r>
    </w:p>
    <w:p>
      <w:pPr>
        <w:pStyle w:val="Normal"/>
        <w:spacing w:lineRule="auto" w:line="276" w:before="57" w:after="57"/>
        <w:jc w:val="center"/>
        <w:rPr>
          <w:rFonts w:ascii="Verdana" w:hAnsi="Verdana"/>
          <w:sz w:val="20"/>
          <w:szCs w:val="20"/>
        </w:rPr>
      </w:pPr>
      <w:r>
        <w:rPr>
          <w:rFonts w:ascii="Verdana" w:hAnsi="Verdana"/>
          <w:sz w:val="20"/>
          <w:szCs w:val="20"/>
        </w:rPr>
      </w:r>
    </w:p>
    <w:p>
      <w:pPr>
        <w:pStyle w:val="BodyText"/>
        <w:spacing w:lineRule="auto" w:line="276" w:before="57" w:after="57"/>
        <w:jc w:val="both"/>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10/06</w:t>
      </w:r>
      <w:r>
        <w:rPr>
          <w:rFonts w:cs="Arial" w:ascii="Verdana" w:hAnsi="Verdana"/>
          <w:b/>
          <w:bCs/>
          <w:color w:val="000000"/>
          <w:sz w:val="20"/>
          <w:szCs w:val="20"/>
        </w:rPr>
        <w:t>/2025.</w:t>
      </w:r>
    </w:p>
    <w:p>
      <w:pPr>
        <w:pStyle w:val="Normal"/>
        <w:spacing w:lineRule="auto" w:line="276" w:before="57" w:after="57"/>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h00min.</w:t>
      </w:r>
    </w:p>
    <w:p>
      <w:pPr>
        <w:pStyle w:val="Normal"/>
        <w:spacing w:lineRule="auto" w:line="276"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ListLabel190"/>
            <w:rFonts w:cs="Arial" w:ascii="Verdana" w:hAnsi="Verdana"/>
            <w:b/>
            <w:bCs/>
            <w:color w:val="0563C1"/>
            <w:sz w:val="20"/>
            <w:szCs w:val="20"/>
            <w:u w:val="single"/>
          </w:rPr>
          <w:t>www.portaldecompraspublicas.com.br</w:t>
        </w:r>
      </w:hyperlink>
      <w:bookmarkEnd w:id="0"/>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rPr>
        <w:t>DO OBJETO</w:t>
      </w:r>
    </w:p>
    <w:p>
      <w:pPr>
        <w:pStyle w:val="ListParagraph"/>
        <w:spacing w:lineRule="auto" w:line="276" w:before="57" w:after="57"/>
        <w:ind w:hanging="0" w:left="0"/>
        <w:contextualSpacing w:val="false"/>
        <w:jc w:val="both"/>
        <w:rPr/>
      </w:pPr>
      <w:r>
        <w:rPr>
          <w:rFonts w:cs="Arial" w:ascii="Verdana" w:hAnsi="Verdana"/>
          <w:color w:val="000000"/>
          <w:sz w:val="20"/>
          <w:szCs w:val="20"/>
        </w:rPr>
        <w:t>1.1 O objeto da presente licitação é a aquisição de gêneros alimentícios (ovos e biscoito) em atendimento ao Programa Nacional de Alimentação Escolar – PNAE para atender as necessidades da Secretaria Municipal de Educação</w:t>
      </w:r>
      <w:r>
        <w:rPr>
          <w:rFonts w:eastAsia="Batang;바탕" w:cs="Arial" w:ascii="Verdana" w:hAnsi="Verdana"/>
          <w:color w:val="000000"/>
          <w:kern w:val="2"/>
          <w:sz w:val="20"/>
          <w:szCs w:val="20"/>
          <w:lang w:eastAsia="en-US" w:bidi="pt-BR"/>
        </w:rPr>
        <w:t>, deste município, conforme c</w:t>
      </w:r>
      <w:r>
        <w:rPr>
          <w:rFonts w:cs="Arial" w:ascii="Verdana" w:hAnsi="Verdana"/>
          <w:sz w:val="20"/>
          <w:szCs w:val="20"/>
        </w:rPr>
        <w:t>ondições, quantidades e exigências estabelecidas neste Edital e seus anexos.</w:t>
      </w:r>
    </w:p>
    <w:p>
      <w:pPr>
        <w:pStyle w:val="Normal"/>
        <w:spacing w:lineRule="auto" w:line="276" w:before="57" w:after="57"/>
        <w:jc w:val="both"/>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tabs>
          <w:tab w:val="clear" w:pos="720"/>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57" w:after="57"/>
        <w:jc w:val="both"/>
        <w:rPr/>
      </w:pPr>
      <w:r>
        <w:rPr>
          <w:rFonts w:eastAsia="Batang;바탕" w:cs="Arial" w:ascii="Verdana" w:hAnsi="Verdana"/>
          <w:b/>
          <w:bCs/>
          <w:color w:val="000000"/>
          <w:sz w:val="20"/>
          <w:szCs w:val="20"/>
          <w:highlight w:val="yellow"/>
        </w:rPr>
        <w:t>1.3 A licitação correspondente ocorrerá com exclusividade para microempresas ou empresas de pequeno porte</w:t>
      </w:r>
    </w:p>
    <w:p>
      <w:pPr>
        <w:pStyle w:val="Normal"/>
        <w:spacing w:lineRule="auto" w:line="276" w:before="57" w:after="57"/>
        <w:jc w:val="both"/>
        <w:rPr>
          <w:rFonts w:ascii="Verdana" w:hAnsi="Verdana" w:cs="Arial"/>
          <w:iCs/>
          <w:color w:val="000000"/>
          <w:sz w:val="20"/>
          <w:szCs w:val="20"/>
        </w:rPr>
      </w:pPr>
      <w:r>
        <w:rPr>
          <w:rFonts w:cs="Arial" w:ascii="Verdana" w:hAnsi="Verdana"/>
          <w:iCs/>
          <w:color w:val="000000"/>
          <w:sz w:val="20"/>
          <w:szCs w:val="20"/>
        </w:rPr>
      </w:r>
    </w:p>
    <w:p>
      <w:pPr>
        <w:pStyle w:val="Nivel01"/>
        <w:numPr>
          <w:ilvl w:val="0"/>
          <w:numId w:val="2"/>
        </w:numPr>
        <w:spacing w:lineRule="auto" w:line="276" w:before="57" w:after="57"/>
        <w:ind w:hanging="0" w:left="0"/>
        <w:rPr/>
      </w:pPr>
      <w:r>
        <w:rPr>
          <w:rFonts w:cs="Arial" w:ascii="Verdana" w:hAnsi="Verdana"/>
        </w:rPr>
        <w:t>DOS RECURSOS ORÇAMENTÁRIOS</w:t>
      </w:r>
    </w:p>
    <w:p>
      <w:pPr>
        <w:pStyle w:val="Normal"/>
        <w:spacing w:lineRule="auto" w:line="276" w:before="57" w:after="57"/>
        <w:jc w:val="both"/>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numPr>
          <w:ilvl w:val="0"/>
          <w:numId w:val="4"/>
        </w:numPr>
        <w:spacing w:lineRule="auto" w:line="276" w:before="57" w:after="57"/>
        <w:ind w:hanging="0" w:left="0"/>
        <w:jc w:val="both"/>
        <w:rPr/>
      </w:pPr>
      <w:r>
        <w:rPr>
          <w:rFonts w:cs="Times New Roman" w:ascii="Verdana" w:hAnsi="Verdana"/>
          <w:b/>
          <w:bCs/>
          <w:sz w:val="20"/>
          <w:szCs w:val="20"/>
          <w:lang w:eastAsia="ar-SA"/>
        </w:rPr>
        <w:t>Secretaria Municipal de Educação</w:t>
      </w:r>
    </w:p>
    <w:p>
      <w:pPr>
        <w:pStyle w:val="Normal"/>
        <w:spacing w:lineRule="auto" w:line="276" w:before="57" w:after="57"/>
        <w:rPr/>
      </w:pPr>
      <w:r>
        <w:rPr>
          <w:rFonts w:cs="Times New Roman" w:ascii="Verdana" w:hAnsi="Verdana"/>
          <w:color w:val="000000"/>
          <w:sz w:val="20"/>
          <w:szCs w:val="20"/>
          <w:lang w:eastAsia="ar-SA"/>
        </w:rPr>
        <w:tab/>
        <w:t xml:space="preserve"> Ficha/Fonte: 598 – 15000025000000.</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DO CREDENCIAMENTO</w:t>
      </w:r>
    </w:p>
    <w:p>
      <w:pPr>
        <w:pStyle w:val="Default"/>
        <w:spacing w:lineRule="auto" w:line="276" w:before="57" w:after="57"/>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57" w:after="57"/>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57" w:after="57"/>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57" w:after="57"/>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DA PARTICIPAÇÃO NO PREGÃO.</w:t>
      </w:r>
    </w:p>
    <w:p>
      <w:pPr>
        <w:pStyle w:val="Normal"/>
        <w:spacing w:lineRule="auto" w:line="276" w:before="57" w:after="57"/>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57" w:after="57"/>
        <w:jc w:val="both"/>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a certidão expedida pela Junta Comercial da região sede da empresa,</w:t>
      </w:r>
      <w:r>
        <w:rPr>
          <w:rFonts w:cs="Arial" w:ascii="Verdana" w:hAnsi="Verdana"/>
          <w:sz w:val="20"/>
          <w:szCs w:val="20"/>
        </w:rPr>
        <w:t xml:space="preserve"> demonstrando a situação de enquadramento, emitida a partir do ano de </w:t>
      </w:r>
      <w:r>
        <w:rPr>
          <w:rFonts w:cs="Arial" w:ascii="Verdana" w:hAnsi="Verdana"/>
          <w:b/>
          <w:color w:val="FF0000"/>
          <w:sz w:val="20"/>
          <w:szCs w:val="20"/>
        </w:rPr>
        <w:t xml:space="preserve">2025,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76" w:before="57" w:after="57"/>
        <w:jc w:val="both"/>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76" w:before="57" w:after="57"/>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76" w:before="57" w:after="57"/>
        <w:jc w:val="both"/>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76" w:before="57" w:after="57"/>
        <w:jc w:val="both"/>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tabs>
          <w:tab w:val="clear" w:pos="720"/>
          <w:tab w:val="left" w:pos="1440" w:leader="none"/>
        </w:tabs>
        <w:snapToGrid w:val="false"/>
        <w:spacing w:lineRule="auto" w:line="276" w:before="57" w:after="57"/>
        <w:jc w:val="both"/>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tabs>
          <w:tab w:val="clear" w:pos="720"/>
          <w:tab w:val="left" w:pos="1440" w:leader="none"/>
        </w:tabs>
        <w:snapToGrid w:val="false"/>
        <w:spacing w:lineRule="auto" w:line="276" w:before="57" w:after="57"/>
        <w:jc w:val="both"/>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tabs>
          <w:tab w:val="clear" w:pos="720"/>
          <w:tab w:val="left" w:pos="1440" w:leader="none"/>
        </w:tabs>
        <w:snapToGrid w:val="false"/>
        <w:spacing w:lineRule="auto" w:line="276" w:before="57" w:after="57"/>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76" w:before="57" w:after="57"/>
        <w:jc w:val="both"/>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tabs>
          <w:tab w:val="clear" w:pos="720"/>
          <w:tab w:val="left" w:pos="1440" w:leader="none"/>
        </w:tabs>
        <w:snapToGrid w:val="false"/>
        <w:spacing w:lineRule="auto" w:line="276" w:before="57" w:after="57"/>
        <w:jc w:val="both"/>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lineRule="auto" w:line="276" w:before="57" w:after="57"/>
        <w:jc w:val="both"/>
        <w:rPr/>
      </w:pPr>
      <w:r>
        <w:rPr>
          <w:rFonts w:cs="Arial" w:ascii="Verdana" w:hAnsi="Verdana"/>
          <w:bCs/>
          <w:color w:val="000000"/>
          <w:sz w:val="20"/>
          <w:szCs w:val="20"/>
        </w:rPr>
        <w:t>4.3.10 Pessoas jurídicas reunidas em consórcio;</w:t>
      </w:r>
    </w:p>
    <w:p>
      <w:pPr>
        <w:pStyle w:val="Normal"/>
        <w:snapToGrid w:val="false"/>
        <w:spacing w:lineRule="auto" w:line="276" w:before="57" w:after="57"/>
        <w:jc w:val="both"/>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76"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57" w:after="57"/>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57" w:after="57"/>
        <w:ind w:hanging="0" w:left="0"/>
        <w:rPr/>
      </w:pPr>
      <w:bookmarkStart w:id="6" w:name="art14§2"/>
      <w:bookmarkEnd w:id="6"/>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57" w:after="57"/>
        <w:ind w:hanging="0" w:left="0"/>
        <w:rPr/>
      </w:pPr>
      <w:bookmarkStart w:id="7" w:name="art14§3"/>
      <w:bookmarkEnd w:id="7"/>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57" w:after="57"/>
        <w:ind w:hanging="0" w:left="0"/>
        <w:rPr/>
      </w:pPr>
      <w:bookmarkStart w:id="8" w:name="art14§4"/>
      <w:bookmarkEnd w:id="8"/>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57" w:after="57"/>
        <w:ind w:hanging="0" w:left="0"/>
        <w:rPr/>
      </w:pPr>
      <w:bookmarkStart w:id="9" w:name="art14§5"/>
      <w:bookmarkEnd w:id="9"/>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57" w:after="57"/>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DA APRESENTAÇÃO DA PROPOSTA E DOS DOCUMENTOS DE HABILITAÇÃO</w:t>
      </w:r>
    </w:p>
    <w:p>
      <w:pPr>
        <w:pStyle w:val="Normal"/>
        <w:numPr>
          <w:ilvl w:val="1"/>
          <w:numId w:val="14"/>
        </w:numPr>
        <w:tabs>
          <w:tab w:val="clear" w:pos="720"/>
          <w:tab w:val="left" w:pos="450" w:leader="none"/>
          <w:tab w:val="left" w:pos="1450" w:leader="none"/>
        </w:tabs>
        <w:spacing w:lineRule="auto" w:line="276" w:before="57" w:after="57"/>
        <w:ind w:hanging="0" w:lef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5"/>
        </w:numPr>
        <w:tabs>
          <w:tab w:val="clear" w:pos="720"/>
          <w:tab w:val="left" w:pos="450" w:leader="none"/>
        </w:tabs>
        <w:spacing w:lineRule="auto" w:line="276" w:before="57" w:after="57"/>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6"/>
        </w:numPr>
        <w:tabs>
          <w:tab w:val="clear" w:pos="720"/>
          <w:tab w:val="left" w:pos="450" w:leader="none"/>
        </w:tabs>
        <w:spacing w:lineRule="auto" w:line="276" w:before="57" w:after="57"/>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7"/>
        </w:numPr>
        <w:tabs>
          <w:tab w:val="clear" w:pos="720"/>
          <w:tab w:val="left" w:pos="450" w:leader="none"/>
        </w:tabs>
        <w:spacing w:lineRule="auto" w:line="276" w:before="57" w:after="57"/>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8"/>
        </w:numPr>
        <w:tabs>
          <w:tab w:val="clear" w:pos="720"/>
          <w:tab w:val="left" w:pos="450" w:leader="none"/>
        </w:tabs>
        <w:spacing w:lineRule="auto" w:line="276" w:before="57" w:after="57"/>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9"/>
        </w:numPr>
        <w:tabs>
          <w:tab w:val="clear" w:pos="720"/>
          <w:tab w:val="left" w:pos="450" w:leader="none"/>
        </w:tabs>
        <w:spacing w:lineRule="auto" w:line="276" w:before="57" w:after="57"/>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0"/>
        </w:numPr>
        <w:tabs>
          <w:tab w:val="clear" w:pos="720"/>
          <w:tab w:val="left" w:pos="450" w:leader="none"/>
        </w:tabs>
        <w:spacing w:lineRule="auto" w:line="276" w:before="57" w:after="57"/>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1"/>
        </w:numPr>
        <w:tabs>
          <w:tab w:val="clear" w:pos="720"/>
          <w:tab w:val="left" w:pos="450" w:leader="none"/>
        </w:tabs>
        <w:spacing w:lineRule="auto" w:line="276" w:before="57" w:after="57"/>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rPr>
        <w:t>DO PREENCHIMENTO DA PROPOSTA</w:t>
      </w:r>
    </w:p>
    <w:p>
      <w:pPr>
        <w:pStyle w:val="Normal"/>
        <w:numPr>
          <w:ilvl w:val="1"/>
          <w:numId w:val="2"/>
        </w:numPr>
        <w:tabs>
          <w:tab w:val="clear" w:pos="720"/>
          <w:tab w:val="left" w:pos="450" w:leader="none"/>
        </w:tabs>
        <w:spacing w:lineRule="auto" w:line="276" w:before="57" w:after="57"/>
        <w:ind w:hanging="0" w:left="0"/>
        <w:jc w:val="both"/>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76" w:before="57" w:after="57"/>
        <w:ind w:hanging="0" w:left="0"/>
        <w:jc w:val="both"/>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76" w:before="57" w:after="57"/>
        <w:jc w:val="both"/>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76" w:before="57" w:after="57"/>
        <w:jc w:val="both"/>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76" w:before="57" w:after="57"/>
        <w:jc w:val="both"/>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76" w:before="57" w:after="57"/>
        <w:jc w:val="both"/>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76" w:before="57" w:after="57"/>
        <w:jc w:val="both"/>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76" w:before="57" w:after="57"/>
        <w:jc w:val="both"/>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76" w:before="57" w:after="57"/>
        <w:jc w:val="both"/>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76" w:before="57" w:after="57"/>
        <w:jc w:val="both"/>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76" w:before="57" w:after="57"/>
        <w:jc w:val="both"/>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before="57" w:after="57"/>
        <w:ind w:hanging="0" w:left="0"/>
        <w:rPr>
          <w:rFonts w:ascii="Verdana" w:hAnsi="Verdana" w:eastAsia="Segoe UI" w:cs="Arial"/>
          <w:color w:val="000000"/>
        </w:rPr>
      </w:pPr>
      <w:r>
        <w:rPr>
          <w:rFonts w:eastAsia="Segoe UI" w:cs="Arial" w:ascii="Verdana" w:hAnsi="Verdana"/>
          <w:color w:val="000000"/>
        </w:rPr>
      </w:r>
    </w:p>
    <w:p>
      <w:pPr>
        <w:pStyle w:val="Nivel01"/>
        <w:numPr>
          <w:ilvl w:val="0"/>
          <w:numId w:val="2"/>
        </w:numPr>
        <w:spacing w:lineRule="auto" w:line="276" w:before="57" w:after="57"/>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57" w:after="57"/>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76" w:before="57" w:after="57"/>
        <w:ind w:hanging="0" w:left="0"/>
        <w:jc w:val="both"/>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76" w:before="57" w:after="57"/>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76" w:before="57" w:after="57"/>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76" w:before="57" w:after="57"/>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76" w:before="57" w:after="57"/>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76" w:before="57" w:after="57"/>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76" w:before="57" w:after="57"/>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76" w:before="57" w:after="57"/>
        <w:ind w:hanging="0"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hanging="0"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hanging="0"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76" w:before="57" w:after="57"/>
        <w:ind w:hanging="0" w:left="0"/>
        <w:contextualSpacing w:val="false"/>
        <w:jc w:val="both"/>
        <w:rPr/>
      </w:pPr>
      <w:r>
        <w:rPr>
          <w:rFonts w:cs="Arial" w:ascii="Verdana" w:hAnsi="Verdana"/>
          <w:color w:val="000000"/>
          <w:sz w:val="20"/>
          <w:szCs w:val="20"/>
        </w:rPr>
        <w:t>7.10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76" w:before="57" w:after="57"/>
        <w:ind w:hanging="0" w:left="0"/>
        <w:contextualSpacing w:val="false"/>
        <w:jc w:val="both"/>
        <w:rPr/>
      </w:pPr>
      <w:r>
        <w:rPr>
          <w:rFonts w:cs="Arial" w:ascii="Verdana" w:hAnsi="Verdana"/>
          <w:color w:val="000000"/>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pPr>
        <w:pStyle w:val="Normal"/>
        <w:spacing w:lineRule="auto" w:line="276" w:before="57" w:after="57"/>
        <w:jc w:val="both"/>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76" w:before="57" w:after="57"/>
        <w:jc w:val="both"/>
        <w:rPr/>
      </w:pPr>
      <w:r>
        <w:rPr>
          <w:rFonts w:ascii="Verdana" w:hAnsi="Verdana"/>
          <w:sz w:val="20"/>
          <w:szCs w:val="20"/>
        </w:rPr>
        <w:t>7.12. Após o término dos prazos estabelecidos nos itens anteriores, o sistema ordenará os lances segundo a ordem crescente de valores.</w:t>
      </w:r>
    </w:p>
    <w:p>
      <w:pPr>
        <w:pStyle w:val="Normal"/>
        <w:spacing w:lineRule="auto" w:line="276" w:before="57" w:after="57"/>
        <w:jc w:val="both"/>
        <w:rPr/>
      </w:pPr>
      <w:r>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76" w:before="57" w:after="57"/>
        <w:jc w:val="both"/>
        <w:rPr/>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pPr>
        <w:pStyle w:val="Normal"/>
        <w:spacing w:lineRule="auto" w:line="276" w:before="57" w:after="57"/>
        <w:jc w:val="both"/>
        <w:rPr/>
      </w:pPr>
      <w:r>
        <w:rPr>
          <w:rFonts w:cs="Arial" w:ascii="Verdana" w:hAnsi="Verdana"/>
          <w:color w:val="000000"/>
          <w:sz w:val="20"/>
          <w:szCs w:val="20"/>
        </w:rPr>
        <w:t>7.14 Não serão aceitos dois ou mais lances de mesmo valor, prevalecendo aquele que for recebido e registrado em primeiro lugar.</w:t>
      </w:r>
    </w:p>
    <w:p>
      <w:pPr>
        <w:pStyle w:val="Normal"/>
        <w:spacing w:lineRule="auto" w:line="276" w:before="57" w:after="57"/>
        <w:jc w:val="both"/>
        <w:rPr/>
      </w:pPr>
      <w:r>
        <w:rPr>
          <w:rFonts w:cs="Arial" w:ascii="Verdana" w:hAnsi="Verdana"/>
          <w:color w:val="000000"/>
          <w:sz w:val="20"/>
          <w:szCs w:val="20"/>
        </w:rPr>
        <w:t xml:space="preserve">7.15 Durante o transcurso da sessão pública, os licitantes serão informados, em tempo real, do valor do menor lance registrado, vedada a identificação do licitante. </w:t>
      </w:r>
    </w:p>
    <w:p>
      <w:pPr>
        <w:pStyle w:val="Normal"/>
        <w:spacing w:lineRule="auto" w:line="276" w:before="57" w:after="57"/>
        <w:jc w:val="both"/>
        <w:rPr/>
      </w:pPr>
      <w:r>
        <w:rPr>
          <w:rFonts w:cs="Arial" w:ascii="Verdana" w:hAnsi="Verdana"/>
          <w:color w:val="000000"/>
          <w:sz w:val="20"/>
          <w:szCs w:val="20"/>
        </w:rPr>
        <w:t xml:space="preserve">7.16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pPr>
      <w:r>
        <w:rPr>
          <w:rFonts w:cs="Arial" w:ascii="Verdana" w:hAnsi="Verdana"/>
          <w:color w:val="000000"/>
          <w:sz w:val="20"/>
          <w:szCs w:val="20"/>
        </w:rPr>
        <w:t xml:space="preserve">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spacing w:lineRule="auto" w:line="276" w:before="57" w:after="57"/>
        <w:jc w:val="both"/>
        <w:rPr/>
      </w:pPr>
      <w:r>
        <w:rPr>
          <w:rFonts w:cs="Arial" w:ascii="Verdana" w:hAnsi="Verdana"/>
          <w:color w:val="000000"/>
          <w:sz w:val="20"/>
          <w:szCs w:val="20"/>
        </w:rPr>
        <w:t>7.18 O Critério de julgamento adotado será o menor preço, conforme definido neste Edital e seus anexos.</w:t>
      </w:r>
    </w:p>
    <w:p>
      <w:pPr>
        <w:pStyle w:val="Normal"/>
        <w:spacing w:lineRule="auto" w:line="276" w:before="57" w:after="57"/>
        <w:jc w:val="both"/>
        <w:rPr/>
      </w:pPr>
      <w:r>
        <w:rPr>
          <w:rFonts w:cs="Arial" w:ascii="Verdana" w:hAnsi="Verdana"/>
          <w:color w:val="000000"/>
          <w:sz w:val="20"/>
          <w:szCs w:val="20"/>
        </w:rPr>
        <w:t>7.19 Caso o licitante não apresente lances, concorrerá com o valor de sua proposta.</w:t>
      </w:r>
    </w:p>
    <w:p>
      <w:pPr>
        <w:pStyle w:val="Normal"/>
        <w:spacing w:lineRule="auto" w:line="276" w:before="57" w:after="57"/>
        <w:jc w:val="both"/>
        <w:rPr/>
      </w:pPr>
      <w:r>
        <w:rPr>
          <w:rFonts w:cs="Arial" w:ascii="Verdana" w:hAnsi="Verdana"/>
          <w:color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pPr>
      <w:r>
        <w:rPr>
          <w:rFonts w:cs="Arial" w:ascii="Verdana" w:hAnsi="Verdana"/>
          <w:color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pPr>
      <w:r>
        <w:rPr>
          <w:rFonts w:cs="Arial" w:ascii="Verdana" w:hAnsi="Verdana"/>
          <w:color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pPr>
      <w:r>
        <w:rPr>
          <w:rFonts w:cs="Arial" w:ascii="Verdana" w:hAnsi="Verdana"/>
          <w:color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pPr>
      <w:r>
        <w:rPr>
          <w:rFonts w:cs="Arial" w:ascii="Verdana" w:hAnsi="Verdana"/>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pPr>
      <w:r>
        <w:rPr>
          <w:rFonts w:cs="Arial" w:ascii="Verdana" w:hAnsi="Verdana"/>
          <w:color w:val="000000"/>
          <w:sz w:val="20"/>
          <w:szCs w:val="20"/>
        </w:rPr>
        <w:t xml:space="preserve">7.25 Só poderá haver empate entre propostas iguais (não seguidas de lances), ou entre lances finais da fase fechada do modo de disputa aberto e fechado. </w:t>
      </w:r>
    </w:p>
    <w:p>
      <w:pPr>
        <w:pStyle w:val="Normal"/>
        <w:spacing w:lineRule="auto" w:line="276" w:before="57" w:after="57"/>
        <w:jc w:val="both"/>
        <w:rPr/>
      </w:pPr>
      <w:r>
        <w:rPr>
          <w:rFonts w:cs="Arial" w:ascii="Verdana" w:hAnsi="Verdana"/>
          <w:color w:val="000000"/>
          <w:sz w:val="20"/>
          <w:szCs w:val="20"/>
        </w:rPr>
        <w:t>7.26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pPr>
      <w:r>
        <w:rPr>
          <w:rFonts w:cs="Arial" w:ascii="Verdana" w:hAnsi="Verdana"/>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pPr>
      <w:r>
        <w:rPr>
          <w:rFonts w:cs="Arial" w:ascii="Verdana" w:hAnsi="Verdana"/>
          <w:color w:val="000000"/>
          <w:sz w:val="20"/>
          <w:szCs w:val="20"/>
          <w:lang w:eastAsia="en-US"/>
        </w:rPr>
        <w:t>7.26.2 No país;</w:t>
      </w:r>
    </w:p>
    <w:p>
      <w:pPr>
        <w:pStyle w:val="Normal"/>
        <w:spacing w:lineRule="auto" w:line="276" w:before="57" w:after="57"/>
        <w:jc w:val="both"/>
        <w:rPr/>
      </w:pPr>
      <w:r>
        <w:rPr>
          <w:rFonts w:cs="Arial" w:ascii="Verdana" w:hAnsi="Verdana"/>
          <w:color w:val="000000"/>
          <w:sz w:val="20"/>
          <w:szCs w:val="20"/>
          <w:lang w:eastAsia="en-US"/>
        </w:rPr>
        <w:t>7.26.3 Por empresas brasileiras;</w:t>
      </w:r>
    </w:p>
    <w:p>
      <w:pPr>
        <w:pStyle w:val="Normal"/>
        <w:spacing w:lineRule="auto" w:line="276" w:before="57" w:after="57"/>
        <w:jc w:val="both"/>
        <w:rPr/>
      </w:pPr>
      <w:r>
        <w:rPr>
          <w:rFonts w:cs="Arial" w:ascii="Verdana" w:hAnsi="Verdana"/>
          <w:color w:val="000000"/>
          <w:sz w:val="20"/>
          <w:szCs w:val="20"/>
          <w:lang w:eastAsia="en-US"/>
        </w:rPr>
        <w:t>7.26.4 Por empresas que invistam em pesquisa e no desenvolvimento de tecnologia no País;</w:t>
      </w:r>
    </w:p>
    <w:p>
      <w:pPr>
        <w:pStyle w:val="Normal"/>
        <w:spacing w:lineRule="auto" w:line="276" w:before="57" w:after="57"/>
        <w:jc w:val="both"/>
        <w:rPr/>
      </w:pPr>
      <w:r>
        <w:rPr>
          <w:rFonts w:cs="Arial" w:ascii="Verdana" w:hAnsi="Verdana"/>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76" w:before="57" w:after="57"/>
        <w:jc w:val="both"/>
        <w:rPr/>
      </w:pPr>
      <w:r>
        <w:rPr>
          <w:rFonts w:cs="Arial" w:ascii="Verdana" w:hAnsi="Verdana"/>
          <w:color w:val="000000"/>
          <w:sz w:val="20"/>
          <w:szCs w:val="20"/>
          <w:lang w:eastAsia="en-US"/>
        </w:rPr>
        <w:t xml:space="preserve">7.27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pPr>
      <w:r>
        <w:rPr>
          <w:rFonts w:cs="Arial" w:ascii="Verdana" w:hAnsi="Verdana"/>
          <w:color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tabs>
          <w:tab w:val="clear" w:pos="720"/>
          <w:tab w:val="left" w:pos="-12" w:leader="none"/>
        </w:tabs>
        <w:spacing w:lineRule="auto" w:line="276" w:before="57" w:after="57"/>
        <w:ind w:hanging="0" w:left="0"/>
        <w:contextualSpacing w:val="false"/>
        <w:jc w:val="both"/>
        <w:rPr/>
      </w:pPr>
      <w:r>
        <w:rPr>
          <w:rFonts w:cs="Arial" w:ascii="Verdana" w:hAnsi="Verdana"/>
          <w:color w:val="000000"/>
          <w:sz w:val="20"/>
          <w:szCs w:val="20"/>
        </w:rPr>
        <w:t>7.28.2 O pregoeiro solicitará ao licitante melhor classificado que, no prazo de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76" w:before="57" w:after="57"/>
        <w:ind w:hanging="0" w:left="0"/>
        <w:contextualSpacing w:val="false"/>
        <w:jc w:val="both"/>
        <w:rPr/>
      </w:pPr>
      <w:r>
        <w:rPr>
          <w:rFonts w:cs="Arial" w:ascii="Verdana" w:hAnsi="Verdana"/>
          <w:color w:val="000000"/>
          <w:sz w:val="20"/>
          <w:szCs w:val="20"/>
        </w:rPr>
        <w:t>7.29 Após a negociação do preço, o Pregoeiro iniciará a fase de aceitação e julgamento da proposta.</w:t>
      </w:r>
    </w:p>
    <w:p>
      <w:pPr>
        <w:pStyle w:val="ListParagraph"/>
        <w:tabs>
          <w:tab w:val="clear" w:pos="720"/>
          <w:tab w:val="left" w:pos="-12" w:leader="none"/>
        </w:tabs>
        <w:spacing w:lineRule="auto" w:line="276" w:before="57" w:after="57"/>
        <w:ind w:hanging="0" w:left="0"/>
        <w:contextualSpacing w:val="false"/>
        <w:jc w:val="both"/>
        <w:rPr/>
      </w:pPr>
      <w:r>
        <w:rPr>
          <w:rFonts w:cs="Arial" w:ascii="Verdana" w:hAnsi="Verdana"/>
          <w:color w:val="000000"/>
          <w:sz w:val="20"/>
          <w:szCs w:val="20"/>
        </w:rPr>
        <w:t xml:space="preserve">7.30 </w:t>
      </w:r>
      <w:r>
        <w:rPr>
          <w:rFonts w:ascii="Verdana" w:hAnsi="Verdana"/>
          <w:b/>
          <w:i/>
          <w:iCs/>
          <w:sz w:val="20"/>
          <w:szCs w:val="20"/>
          <w:highlight w:val="yellow"/>
          <w:u w:val="single"/>
        </w:rPr>
        <w:t>Em caso de haver divergência entre o item selecionado no catálogo do Compras.gov.br e as especificações contidas no Termo de Referência prevalecem as especificações do Termo de Referência, inclusive para fins de desclassificação.</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276" w:before="57" w:after="57"/>
        <w:ind w:hanging="0" w:left="0"/>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76" w:before="57" w:after="57"/>
        <w:ind w:hanging="0" w:left="0"/>
        <w:jc w:val="both"/>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76" w:before="57" w:after="57"/>
        <w:ind w:hanging="0" w:left="0"/>
        <w:jc w:val="both"/>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91"/>
          <w:sz w:val="20"/>
          <w:u w:val="single"/>
          <w:szCs w:val="20"/>
          <w:rFonts w:cs="Arial" w:ascii="Verdana" w:hAnsi="Verdana"/>
          <w:color w:val="000080"/>
        </w:rPr>
        <w:fldChar w:fldCharType="separate"/>
      </w:r>
      <w:r>
        <w:rPr>
          <w:rStyle w:val="ListLabel191"/>
          <w:rFonts w:cs="Arial" w:ascii="Verdana" w:hAnsi="Verdana"/>
          <w:color w:val="000080"/>
          <w:sz w:val="20"/>
          <w:szCs w:val="20"/>
          <w:u w:val="single"/>
        </w:rPr>
        <w:t>artigo 29 a 35 da IN SEGES nº 73, de 30 de setembro de 2022</w:t>
      </w:r>
      <w:r>
        <w:rPr>
          <w:rStyle w:val="ListLabel1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76" w:before="57" w:after="57"/>
        <w:ind w:hanging="0" w:left="0"/>
        <w:jc w:val="both"/>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76" w:before="57" w:after="57"/>
        <w:jc w:val="both"/>
        <w:rPr/>
      </w:pPr>
      <w:r>
        <w:rPr>
          <w:rFonts w:ascii="Verdana" w:hAnsi="Verdana"/>
          <w:sz w:val="20"/>
          <w:szCs w:val="20"/>
        </w:rPr>
        <w:t xml:space="preserve">8.4.1 não estiver em conformidade com os requisitos estabelecidos neste edital; </w:t>
      </w:r>
    </w:p>
    <w:p>
      <w:pPr>
        <w:pStyle w:val="Normal"/>
        <w:tabs>
          <w:tab w:val="clear" w:pos="720"/>
          <w:tab w:val="left" w:pos="517" w:leader="none"/>
        </w:tabs>
        <w:spacing w:lineRule="auto" w:line="276" w:before="57" w:after="57"/>
        <w:jc w:val="both"/>
        <w:rPr/>
      </w:pPr>
      <w:r>
        <w:rPr>
          <w:rFonts w:ascii="Verdana" w:hAnsi="Verdana"/>
          <w:sz w:val="20"/>
          <w:szCs w:val="20"/>
        </w:rPr>
        <w:t>8.4.2 contenha vício insanável ou ilegalidade;</w:t>
      </w:r>
    </w:p>
    <w:p>
      <w:pPr>
        <w:pStyle w:val="Normal"/>
        <w:tabs>
          <w:tab w:val="clear" w:pos="720"/>
          <w:tab w:val="left" w:pos="517" w:leader="none"/>
        </w:tabs>
        <w:spacing w:lineRule="auto" w:line="276" w:before="57" w:after="57"/>
        <w:jc w:val="both"/>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lineRule="auto" w:line="276" w:before="57" w:after="57"/>
        <w:jc w:val="both"/>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76" w:before="57" w:after="57"/>
        <w:jc w:val="both"/>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76" w:before="57" w:after="57"/>
        <w:jc w:val="both"/>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76" w:before="57" w:after="57"/>
        <w:jc w:val="both"/>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76" w:before="57" w:after="57"/>
        <w:jc w:val="both"/>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76" w:before="57" w:after="57"/>
        <w:jc w:val="both"/>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lineRule="auto" w:line="276" w:before="57" w:after="57"/>
        <w:jc w:val="both"/>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76" w:before="57" w:after="57"/>
        <w:jc w:val="both"/>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76" w:before="57" w:after="57"/>
        <w:jc w:val="both"/>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76" w:before="57" w:after="57"/>
        <w:jc w:val="both"/>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76" w:before="57" w:after="57"/>
        <w:jc w:val="both"/>
        <w:rPr/>
      </w:pPr>
      <w:r>
        <w:rPr>
          <w:rFonts w:ascii="Verdana" w:hAnsi="Verdana"/>
          <w:sz w:val="20"/>
          <w:szCs w:val="20"/>
        </w:rPr>
        <w:t xml:space="preserve">8.5.5 rubrica para pagamento do Imposto de Renda Pessoa Jurídica – IRPJ e da Contribuição Social Sobre o Lucro Líquido – CSLL; </w:t>
      </w:r>
    </w:p>
    <w:p>
      <w:pPr>
        <w:pStyle w:val="Normal"/>
        <w:tabs>
          <w:tab w:val="clear" w:pos="720"/>
          <w:tab w:val="left" w:pos="517" w:leader="none"/>
        </w:tabs>
        <w:spacing w:lineRule="auto" w:line="276" w:before="57" w:after="57"/>
        <w:jc w:val="both"/>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76" w:before="57" w:after="57"/>
        <w:ind w:hanging="0" w:left="0"/>
        <w:jc w:val="both"/>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76" w:before="57" w:after="57"/>
        <w:jc w:val="both"/>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76" w:before="57" w:after="57"/>
        <w:ind w:hanging="0" w:left="0"/>
        <w:jc w:val="both"/>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76" w:before="57" w:after="57"/>
        <w:ind w:hanging="0" w:lef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76" w:before="57" w:after="57"/>
        <w:ind w:hanging="0" w:left="0"/>
        <w:jc w:val="both"/>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76" w:before="57" w:after="57"/>
        <w:jc w:val="both"/>
        <w:rPr/>
      </w:pPr>
      <w:r>
        <w:rPr>
          <w:rFonts w:ascii="Verdana" w:hAnsi="Verdana"/>
          <w:sz w:val="20"/>
          <w:szCs w:val="20"/>
        </w:rPr>
        <w:t xml:space="preserve">8.9.1 As propostas com preços próximos ou inferiores ao mínimo estabelecido pela Prefeitura Municipal de São Gabriel da Palha, disponibilizado em meio eletrônico, no </w:t>
      </w:r>
      <w:r>
        <w:rPr>
          <w:rFonts w:cs="Arial" w:ascii="Verdana" w:hAnsi="Verdana"/>
          <w:color w:val="000000"/>
          <w:sz w:val="20"/>
          <w:szCs w:val="20"/>
        </w:rPr>
        <w:t xml:space="preserve">Portal de Compras Públicas – </w:t>
      </w:r>
      <w:hyperlink r:id="rId3">
        <w:bookmarkStart w:id="10" w:name="_Hlk123138684_Copia_2"/>
        <w:r>
          <w:rPr>
            <w:rStyle w:val="ListLabel190"/>
            <w:rFonts w:cs="Arial" w:ascii="Verdana" w:hAnsi="Verdana"/>
            <w:b/>
            <w:bCs/>
            <w:color w:val="0563C1"/>
            <w:sz w:val="20"/>
            <w:szCs w:val="20"/>
            <w:u w:val="single"/>
          </w:rPr>
          <w:t>www.portaldecompraspublicas.com.br</w:t>
        </w:r>
      </w:hyperlink>
      <w:bookmarkEnd w:id="10"/>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8.11.1 É facultado ao pregoeiro prorrogar o prazo estabelecido, a partir de solicitação fundamentada feita no chat pelo licitante, antes de findo o prazo.</w:t>
      </w:r>
    </w:p>
    <w:p>
      <w:pPr>
        <w:pStyle w:val="ListParagraph"/>
        <w:spacing w:lineRule="auto" w:line="276" w:before="57" w:after="57"/>
        <w:ind w:hanging="0" w:left="0"/>
        <w:contextualSpacing w:val="false"/>
        <w:jc w:val="both"/>
        <w:rPr/>
      </w:pPr>
      <w:r>
        <w:rPr>
          <w:rFonts w:cs="Arial" w:ascii="Verdana" w:hAnsi="Verdana"/>
          <w:sz w:val="20"/>
          <w:szCs w:val="20"/>
          <w:lang w:eastAsia="en-US"/>
        </w:rPr>
        <w:t>8.11.2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contextualSpacing w:val="false"/>
        <w:jc w:val="both"/>
        <w:rPr/>
      </w:pPr>
      <w:r>
        <w:rPr>
          <w:rFonts w:cs="Arial" w:ascii="Verdana" w:hAnsi="Verdana"/>
          <w:sz w:val="20"/>
          <w:szCs w:val="20"/>
          <w:lang w:eastAsia="ar-SA"/>
        </w:rPr>
        <w:t>a) SICAF;</w:t>
      </w:r>
    </w:p>
    <w:p>
      <w:pPr>
        <w:pStyle w:val="ListParagraph"/>
        <w:spacing w:lineRule="auto" w:line="276"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1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1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hanging="0" w:lef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1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1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76" w:before="57" w:after="57"/>
        <w:ind w:hanging="0" w:left="0"/>
        <w:contextualSpacing w:val="false"/>
        <w:jc w:val="both"/>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76" w:before="57" w:after="57"/>
        <w:ind w:hanging="0"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76" w:before="57" w:after="57"/>
        <w:ind w:hanging="0"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hanging="0"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hanging="0"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76" w:before="57" w:after="57"/>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before="57" w:after="57"/>
        <w:ind w:hanging="0" w:left="0"/>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before="57" w:after="57"/>
        <w:ind w:hanging="0" w:left="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before="57" w:after="57"/>
        <w:ind w:hanging="0" w:left="0"/>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before="57" w:after="57"/>
        <w:ind w:hanging="0" w:left="0"/>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before="57" w:after="57"/>
        <w:ind w:hanging="0" w:left="0"/>
        <w:rPr/>
      </w:pPr>
      <w:r>
        <w:rPr>
          <w:rFonts w:cs="Arial" w:ascii="Verdana" w:hAnsi="Verdana"/>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1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20"/>
          <w:tab w:val="left" w:pos="617" w:leader="none"/>
        </w:tabs>
        <w:snapToGrid w:val="false"/>
        <w:spacing w:lineRule="auto" w:line="276" w:before="57" w:after="57"/>
        <w:ind w:hanging="0" w:lef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20"/>
          <w:tab w:val="left" w:pos="617" w:leader="none"/>
        </w:tabs>
        <w:snapToGrid w:val="false"/>
        <w:spacing w:lineRule="auto" w:line="276" w:before="57" w:after="57"/>
        <w:ind w:hanging="0" w:lef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
        </w:numPr>
        <w:tabs>
          <w:tab w:val="clear" w:pos="720"/>
          <w:tab w:val="left" w:pos="850" w:leader="none"/>
        </w:tabs>
        <w:spacing w:lineRule="auto" w:line="276" w:before="57" w:after="57"/>
        <w:ind w:hanging="0" w:lef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bCs/>
          <w:color w:val="000000"/>
          <w:sz w:val="20"/>
          <w:szCs w:val="20"/>
        </w:rPr>
        <w:t>Constatado o atendimento às exigências de habilitação fixadas no Edital, o licitante será declarado vencedor.</w:t>
      </w:r>
    </w:p>
    <w:p>
      <w:pPr>
        <w:pStyle w:val="Normal"/>
        <w:spacing w:lineRule="auto" w:line="276" w:before="57" w:after="57"/>
        <w:jc w:val="both"/>
        <w:rPr/>
      </w:pPr>
      <w:r>
        <w:rPr>
          <w:rFonts w:ascii="Verdana" w:hAnsi="Verdana"/>
          <w:b/>
          <w:bCs/>
          <w:sz w:val="20"/>
          <w:szCs w:val="20"/>
        </w:rPr>
        <w:t>9.21 DAS AMOSTRAS</w:t>
      </w:r>
    </w:p>
    <w:p>
      <w:pPr>
        <w:pStyle w:val="Normal"/>
        <w:spacing w:lineRule="auto" w:line="276" w:before="57" w:after="57"/>
        <w:jc w:val="both"/>
        <w:rPr/>
      </w:pPr>
      <w:r>
        <w:rPr>
          <w:rFonts w:cs="Arial" w:ascii="Verdana" w:hAnsi="Verdana"/>
          <w:sz w:val="20"/>
          <w:szCs w:val="20"/>
        </w:rPr>
        <w:t>9.22.</w:t>
      </w:r>
      <w:r>
        <w:rPr>
          <w:rFonts w:cs="Arial" w:ascii="Verdana" w:hAnsi="Verdana"/>
          <w:b/>
          <w:sz w:val="20"/>
          <w:szCs w:val="20"/>
        </w:rPr>
        <w:t xml:space="preserve"> </w:t>
      </w:r>
      <w:r>
        <w:rPr>
          <w:rFonts w:cs="Arial" w:ascii="Verdana" w:hAnsi="Verdana"/>
          <w:sz w:val="20"/>
          <w:szCs w:val="20"/>
        </w:rPr>
        <w:t xml:space="preserve">As amostras deverão ser apresentadas em no Máximo 2 (dois) dias úteis após </w:t>
      </w:r>
      <w:r>
        <w:rPr>
          <w:rFonts w:eastAsia="Times New Roman" w:cs="Arial" w:ascii="Verdana" w:hAnsi="Verdana"/>
          <w:sz w:val="20"/>
          <w:szCs w:val="20"/>
        </w:rPr>
        <w:t>o certame licitatório</w:t>
      </w:r>
      <w:r>
        <w:rPr>
          <w:rFonts w:cs="Arial" w:ascii="Verdana" w:hAnsi="Verdana"/>
          <w:sz w:val="20"/>
          <w:szCs w:val="20"/>
        </w:rPr>
        <w:t>, podendo o prazo ser prorrogado ou a entrega ser dispensada, a pedido da contratante, desde que através de solicitação devidamente justificada e aceita;</w:t>
      </w:r>
    </w:p>
    <w:p>
      <w:pPr>
        <w:pStyle w:val="Normal"/>
        <w:spacing w:lineRule="auto" w:line="276" w:before="57" w:after="57"/>
        <w:jc w:val="both"/>
        <w:rPr/>
      </w:pPr>
      <w:r>
        <w:rPr>
          <w:rFonts w:cs="Arial" w:ascii="Verdana" w:hAnsi="Verdana"/>
          <w:sz w:val="20"/>
          <w:szCs w:val="20"/>
        </w:rPr>
        <w:t>9.23. Os produtos apresentados como amostras poderão ser abertos, manuseados e consumidos.</w:t>
      </w:r>
    </w:p>
    <w:p>
      <w:pPr>
        <w:pStyle w:val="Normal"/>
        <w:spacing w:lineRule="auto" w:line="276" w:before="57" w:after="57"/>
        <w:jc w:val="both"/>
        <w:rPr/>
      </w:pPr>
      <w:r>
        <w:rPr>
          <w:rFonts w:cs="Arial" w:ascii="Verdana" w:hAnsi="Verdana"/>
          <w:sz w:val="20"/>
          <w:szCs w:val="20"/>
        </w:rPr>
        <w:t>9.25. A amostra apresentada, não será em hipótese alguma, considerada como início de entrega dos gêneros alimentícios.</w:t>
      </w:r>
    </w:p>
    <w:p>
      <w:pPr>
        <w:pStyle w:val="Normal"/>
        <w:spacing w:lineRule="auto" w:line="276" w:before="57" w:after="57"/>
        <w:jc w:val="both"/>
        <w:rPr/>
      </w:pPr>
      <w:r>
        <w:rPr>
          <w:rFonts w:cs="Arial" w:ascii="Verdana" w:hAnsi="Verdana"/>
          <w:color w:val="000000"/>
          <w:sz w:val="20"/>
          <w:szCs w:val="20"/>
        </w:rPr>
        <w:t>9.26 As amostras serão avaliadas pela Comissão do Núcleo de Promoção da Qualidade da Alimentação Escolar, apresentado o resultado em laudo escrito.</w:t>
      </w:r>
    </w:p>
    <w:p>
      <w:pPr>
        <w:pStyle w:val="Normal"/>
        <w:spacing w:lineRule="auto" w:line="276" w:before="57" w:after="57"/>
        <w:jc w:val="both"/>
        <w:rPr>
          <w:rFonts w:ascii="Verdana" w:hAnsi="Verdana"/>
          <w:sz w:val="20"/>
          <w:szCs w:val="20"/>
        </w:rPr>
      </w:pPr>
      <w:r>
        <w:rPr>
          <w:rFonts w:cs="Arial" w:ascii="Verdana" w:hAnsi="Verdana"/>
          <w:b/>
          <w:bCs/>
          <w:sz w:val="20"/>
          <w:szCs w:val="20"/>
        </w:rPr>
        <w:t xml:space="preserve">9.26 LOCAL DE ENTREGA </w:t>
      </w:r>
    </w:p>
    <w:p>
      <w:pPr>
        <w:pStyle w:val="Normal"/>
        <w:spacing w:lineRule="auto" w:line="276" w:before="57" w:after="57"/>
        <w:jc w:val="both"/>
        <w:rPr>
          <w:rFonts w:ascii="Verdana" w:hAnsi="Verdana"/>
          <w:sz w:val="20"/>
          <w:szCs w:val="20"/>
        </w:rPr>
      </w:pPr>
      <w:r>
        <w:rPr>
          <w:rFonts w:cs="Arial" w:ascii="Verdana" w:hAnsi="Verdana"/>
          <w:bCs/>
          <w:sz w:val="20"/>
          <w:szCs w:val="20"/>
        </w:rPr>
        <w:t>Rua: Manoel Inácio da Silva, Nº 247 – Bairro São Vicente</w:t>
      </w:r>
    </w:p>
    <w:p>
      <w:pPr>
        <w:pStyle w:val="Normal"/>
        <w:spacing w:lineRule="auto" w:line="276" w:before="57" w:after="57"/>
        <w:jc w:val="both"/>
        <w:rPr>
          <w:rFonts w:ascii="Verdana" w:hAnsi="Verdana"/>
          <w:sz w:val="20"/>
          <w:szCs w:val="20"/>
        </w:rPr>
      </w:pPr>
      <w:r>
        <w:rPr>
          <w:rFonts w:cs="Arial" w:ascii="Verdana" w:hAnsi="Verdana"/>
          <w:bCs/>
          <w:sz w:val="20"/>
          <w:szCs w:val="20"/>
        </w:rPr>
        <w:t>SEMAE – Setor de Merenda Escolar.</w:t>
      </w:r>
    </w:p>
    <w:p>
      <w:pPr>
        <w:pStyle w:val="Normal"/>
        <w:spacing w:lineRule="auto" w:line="276" w:before="57" w:after="57"/>
        <w:jc w:val="both"/>
        <w:rPr>
          <w:rFonts w:ascii="Verdana" w:hAnsi="Verdana"/>
          <w:sz w:val="20"/>
          <w:szCs w:val="20"/>
        </w:rPr>
      </w:pPr>
      <w:r>
        <w:rPr>
          <w:rFonts w:cs="Arial" w:ascii="Verdana" w:hAnsi="Verdana"/>
          <w:bCs/>
          <w:sz w:val="20"/>
          <w:szCs w:val="20"/>
        </w:rPr>
        <w:t>São Gabriel da Palha – ES</w:t>
      </w:r>
    </w:p>
    <w:p>
      <w:pPr>
        <w:pStyle w:val="Normal"/>
        <w:spacing w:lineRule="auto" w:line="276" w:before="57" w:after="57"/>
        <w:jc w:val="both"/>
        <w:rPr>
          <w:rFonts w:ascii="Verdana" w:hAnsi="Verdana"/>
          <w:sz w:val="20"/>
          <w:szCs w:val="20"/>
        </w:rPr>
      </w:pPr>
      <w:r>
        <w:rPr>
          <w:rFonts w:cs="Arial" w:ascii="Verdana" w:hAnsi="Verdana"/>
          <w:bCs/>
          <w:sz w:val="20"/>
          <w:szCs w:val="20"/>
        </w:rPr>
        <w:t>CEP 29.7800-000</w:t>
      </w:r>
    </w:p>
    <w:p>
      <w:pPr>
        <w:pStyle w:val="Normal"/>
        <w:spacing w:lineRule="auto" w:line="276" w:before="57" w:after="57"/>
        <w:jc w:val="both"/>
        <w:rPr>
          <w:rFonts w:ascii="Verdana" w:hAnsi="Verdana"/>
          <w:sz w:val="20"/>
          <w:szCs w:val="20"/>
        </w:rPr>
      </w:pPr>
      <w:r>
        <w:rPr>
          <w:rFonts w:cs="Arial" w:ascii="Verdana" w:hAnsi="Verdana"/>
          <w:b/>
          <w:sz w:val="20"/>
          <w:szCs w:val="20"/>
        </w:rPr>
        <w:t>9.27 CONTATO</w:t>
      </w:r>
    </w:p>
    <w:p>
      <w:pPr>
        <w:pStyle w:val="Normal"/>
        <w:spacing w:lineRule="auto" w:line="276" w:before="57" w:after="57"/>
        <w:jc w:val="both"/>
        <w:rPr>
          <w:rFonts w:ascii="Verdana" w:hAnsi="Verdana"/>
          <w:sz w:val="20"/>
          <w:szCs w:val="20"/>
        </w:rPr>
      </w:pPr>
      <w:r>
        <w:rPr>
          <w:rFonts w:cs="Arial" w:ascii="Verdana" w:hAnsi="Verdana"/>
          <w:b/>
          <w:sz w:val="20"/>
          <w:szCs w:val="20"/>
        </w:rPr>
        <w:t xml:space="preserve">Tel: </w:t>
      </w:r>
      <w:r>
        <w:rPr>
          <w:rFonts w:cs="Arial" w:ascii="Verdana" w:hAnsi="Verdana"/>
          <w:sz w:val="20"/>
          <w:szCs w:val="20"/>
        </w:rPr>
        <w:t>27 3727-3993</w:t>
      </w:r>
    </w:p>
    <w:p>
      <w:pPr>
        <w:pStyle w:val="Normal"/>
        <w:spacing w:lineRule="auto" w:line="276" w:before="57" w:after="57"/>
        <w:jc w:val="both"/>
        <w:rPr>
          <w:rFonts w:ascii="Verdana" w:hAnsi="Verdana"/>
          <w:sz w:val="20"/>
          <w:szCs w:val="20"/>
        </w:rPr>
      </w:pPr>
      <w:r>
        <w:rPr>
          <w:rFonts w:cs="Arial" w:ascii="Verdana" w:hAnsi="Verdana"/>
          <w:b/>
          <w:sz w:val="20"/>
          <w:szCs w:val="20"/>
        </w:rPr>
        <w:t xml:space="preserve">Email: </w:t>
      </w:r>
      <w:r>
        <w:rPr>
          <w:rFonts w:cs="Arial" w:ascii="Verdana" w:hAnsi="Verdana"/>
          <w:sz w:val="20"/>
          <w:szCs w:val="20"/>
        </w:rPr>
        <w:t>financeirosemecsgp@gmail.com</w:t>
      </w:r>
    </w:p>
    <w:p>
      <w:pPr>
        <w:pStyle w:val="Normal"/>
        <w:spacing w:lineRule="auto" w:line="276" w:before="57" w:after="57"/>
        <w:jc w:val="both"/>
        <w:rPr>
          <w:rFonts w:ascii="Verdana" w:hAnsi="Verdana"/>
          <w:sz w:val="20"/>
          <w:szCs w:val="20"/>
        </w:rPr>
      </w:pPr>
      <w:r>
        <w:rPr>
          <w:rFonts w:cs="Arial" w:ascii="Verdana" w:hAnsi="Verdana"/>
          <w:b/>
          <w:color w:val="000000"/>
          <w:sz w:val="20"/>
          <w:szCs w:val="20"/>
        </w:rPr>
        <w:t xml:space="preserve">Responsável: </w:t>
      </w:r>
      <w:r>
        <w:rPr>
          <w:rFonts w:cs="Arial" w:ascii="Verdana" w:hAnsi="Verdana"/>
          <w:color w:val="000000"/>
          <w:sz w:val="20"/>
          <w:szCs w:val="20"/>
        </w:rPr>
        <w:t>Secretaria Municipal de Educação e SEMAE – Setor de Alimentação Escolar.</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20"/>
          <w:tab w:val="left" w:pos="617" w:leader="none"/>
        </w:tabs>
        <w:spacing w:lineRule="auto" w:line="276" w:before="57" w:after="57"/>
        <w:ind w:hanging="0" w:left="0"/>
        <w:contextualSpacing w:val="false"/>
        <w:jc w:val="both"/>
        <w:rPr/>
      </w:pPr>
      <w:r>
        <w:rPr>
          <w:rFonts w:cs="Arial" w:ascii="Verdana" w:hAnsi="Verdana"/>
          <w:iCs/>
          <w:sz w:val="20"/>
          <w:szCs w:val="20"/>
        </w:rPr>
        <w:t>A proposta final do licitante declarado vencedor deverá ser encaminhada no prazo de 02h00min (duas horas),</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20"/>
          <w:tab w:val="left" w:pos="617" w:leader="none"/>
          <w:tab w:val="left" w:pos="900" w:leader="none"/>
        </w:tabs>
        <w:spacing w:lineRule="auto" w:line="276" w:before="57" w:after="57"/>
        <w:ind w:hanging="0" w:lef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lineRule="auto" w:line="276" w:before="57" w:after="57"/>
        <w:ind w:hanging="0" w:lef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20"/>
          <w:tab w:val="left" w:pos="617" w:leader="none"/>
          <w:tab w:val="left" w:pos="900" w:leader="none"/>
        </w:tabs>
        <w:spacing w:lineRule="auto" w:line="276" w:before="57" w:after="57"/>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lineRule="auto" w:line="276" w:before="57" w:after="57"/>
        <w:ind w:hanging="0" w:lef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20"/>
          <w:tab w:val="left" w:pos="850" w:leader="none"/>
        </w:tabs>
        <w:spacing w:lineRule="auto" w:line="276" w:before="57" w:after="57"/>
        <w:ind w:hanging="0" w:lef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lang w:eastAsia="en-US"/>
        </w:rPr>
        <w:t>DOS RECURSOS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 xml:space="preserve">DA ADJUDICAÇÃO E HOMOLOGAÇÃO </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ormal"/>
        <w:spacing w:lineRule="auto" w:line="276" w:before="57" w:after="57"/>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b/>
          <w:bCs/>
          <w:sz w:val="20"/>
          <w:szCs w:val="20"/>
        </w:rPr>
        <w:t>14 DO TERMO DE CONTRATO</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14.1</w:t>
      </w:r>
      <w:r>
        <w:rPr>
          <w:rFonts w:cs="Arial" w:ascii="Verdana" w:hAnsi="Verdana"/>
          <w:b/>
          <w:bCs/>
          <w:sz w:val="20"/>
          <w:szCs w:val="20"/>
        </w:rPr>
        <w:t xml:space="preserve"> </w:t>
      </w:r>
      <w:r>
        <w:rPr>
          <w:rFonts w:cs="Arial" w:ascii="Verdana" w:hAnsi="Verdana"/>
          <w:bCs/>
          <w:sz w:val="20"/>
          <w:szCs w:val="20"/>
        </w:rPr>
        <w:t>Após a homologação da licitação, em sendo realizada a contratação, será firmado Termo de Contrato ou emitido instrumento equivalente.</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14.2</w:t>
      </w:r>
      <w:r>
        <w:rPr>
          <w:rFonts w:cs="Arial" w:ascii="Verdana" w:hAnsi="Verdana"/>
          <w:b/>
          <w:bCs/>
          <w:sz w:val="20"/>
          <w:szCs w:val="20"/>
        </w:rPr>
        <w:t xml:space="preserve"> </w:t>
      </w:r>
      <w:r>
        <w:rPr>
          <w:rFonts w:cs="Arial" w:ascii="Verdana" w:hAnsi="Verdana"/>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iCs/>
          <w:sz w:val="20"/>
          <w:szCs w:val="20"/>
        </w:rPr>
        <w:t>14.2.2 O prazo previsto no subitem anterior poderá ser prorrogado, por igual período, por solicitação justificada do adjudicatário e aceita pela Administração.</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iCs/>
          <w:sz w:val="20"/>
          <w:szCs w:val="20"/>
        </w:rPr>
        <w:t>14.3</w:t>
      </w:r>
      <w:r>
        <w:rPr>
          <w:rFonts w:cs="Arial" w:ascii="Verdana" w:hAnsi="Verdana"/>
          <w:b/>
          <w:bCs/>
          <w:iCs/>
          <w:sz w:val="20"/>
          <w:szCs w:val="20"/>
        </w:rPr>
        <w:t xml:space="preserve"> </w:t>
      </w:r>
      <w:r>
        <w:rPr>
          <w:rFonts w:cs="Arial" w:ascii="Verdana" w:hAnsi="Verdana"/>
          <w:bCs/>
          <w:iCs/>
          <w:sz w:val="20"/>
          <w:szCs w:val="20"/>
        </w:rPr>
        <w:t>O Aceite da Nota de Empenho ou do instrumento equivalente, emitida à empresa adjudicada, implica no reconhecimento de que:</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bCs/>
          <w:iCs/>
          <w:sz w:val="20"/>
          <w:szCs w:val="20"/>
        </w:rPr>
        <w:t>14.3.1 Referida Nota está substituindo o contrato, aplicando-se à relação de negócios ali estabelecida as disposições da Lei nº 14.133, de 2021;</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bCs/>
          <w:iCs/>
          <w:sz w:val="20"/>
          <w:szCs w:val="20"/>
        </w:rPr>
        <w:t>14.3.2 A contratada se vincula à sua proposta e às previsões contidas no edital e seus anexos;</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14.4</w:t>
      </w:r>
      <w:r>
        <w:rPr>
          <w:rFonts w:cs="Arial" w:ascii="Verdana" w:hAnsi="Verdana"/>
          <w:b/>
          <w:bCs/>
          <w:sz w:val="20"/>
          <w:szCs w:val="20"/>
        </w:rPr>
        <w:t xml:space="preserve"> </w:t>
      </w:r>
      <w:r>
        <w:rPr>
          <w:rFonts w:cs="Arial" w:ascii="Verdana" w:hAnsi="Verdana"/>
          <w:bCs/>
          <w:sz w:val="20"/>
          <w:szCs w:val="20"/>
        </w:rPr>
        <w:t>O prazo de vigência da contratação é de 12 (doze) meses, prorrogável conforme previsão no instrumento contratual.</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14.5.1 Nos casos em que houver necessidade de assinatura do instrumento de contrato, e o fornecedor não estiver inscrito no SICAF, este deverá proceder ao seu cadastramento, sem ônus, antes da contratação.</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14.5.2 Na hipótese de irregularidade do registro no SICAF, o contratado deverá regularizar a sua situação perante o cadastro no prazo de até 05 (cinco) dias úteis, sob pena de aplicação das penalidades previstas no edital e anexos.</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15. DO REAJUSTAMENTO EM SENTIDO GERAL</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16. DA ACEITAÇÃO DO OBJETO E DA FISCALIZAÇÃO</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16.1 Os critérios de recebimento e aceitação do objeto e de fiscalização estão previstos no Termo de Referência e Minuta de Contrato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lang w:eastAsia="en-US"/>
        </w:rPr>
        <w:t>17. DAS OBRIGAÇÕES DA CONTRATANTE E DA CONTRATADA</w:t>
      </w:r>
    </w:p>
    <w:p>
      <w:pPr>
        <w:pStyle w:val="ListParagraph"/>
        <w:spacing w:lineRule="auto" w:line="276" w:before="57" w:after="57"/>
        <w:ind w:hanging="0" w:left="0"/>
        <w:contextualSpacing w:val="false"/>
        <w:jc w:val="both"/>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Tahoma" w:ascii="Verdana" w:hAnsi="Verdana"/>
          <w:color w:val="auto"/>
        </w:rPr>
        <w:t>18</w:t>
      </w:r>
      <w:r>
        <w:rPr>
          <w:rFonts w:cs="Arial" w:ascii="Verdana" w:hAnsi="Verdana"/>
        </w:rPr>
        <w:t>. DO PAGAMENTO</w:t>
      </w:r>
    </w:p>
    <w:p>
      <w:pPr>
        <w:pStyle w:val="ListParagraph"/>
        <w:spacing w:lineRule="auto" w:line="276" w:before="57" w:after="57"/>
        <w:ind w:hanging="0" w:left="0"/>
        <w:contextualSpacing w:val="false"/>
        <w:jc w:val="both"/>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e Minuta de Contrato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ListParagraph"/>
        <w:spacing w:lineRule="auto" w:line="276" w:before="57" w:after="57"/>
        <w:ind w:hanging="0" w:left="0"/>
        <w:contextualSpacing w:val="false"/>
        <w:jc w:val="both"/>
        <w:rPr/>
      </w:pPr>
      <w:r>
        <w:rPr>
          <w:rFonts w:cs="Arial" w:ascii="Verdana" w:hAnsi="Verdana"/>
          <w:b/>
          <w:bCs/>
          <w:color w:val="000000"/>
          <w:sz w:val="20"/>
          <w:szCs w:val="20"/>
          <w:lang w:eastAsia="en-US"/>
        </w:rPr>
        <w:t>19. DA CONTA DEPÓSITO VINCULADA ― BLOQUEADA PARA MOVIMENTAÇÃO</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20. DAS SANÇÕES ADMINISTRATIVAS.</w:t>
      </w:r>
    </w:p>
    <w:p>
      <w:pPr>
        <w:pStyle w:val="ListParagraph"/>
        <w:spacing w:lineRule="auto" w:line="276" w:before="57" w:after="57"/>
        <w:ind w:hanging="0" w:left="0"/>
        <w:contextualSpacing w:val="false"/>
        <w:jc w:val="both"/>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20.1.1 D</w:t>
      </w:r>
      <w:bookmarkStart w:id="11"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1"/>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 xml:space="preserve">20.1.2 </w:t>
      </w:r>
      <w:bookmarkStart w:id="12" w:name="_Ref114668108"/>
      <w:r>
        <w:rPr>
          <w:rFonts w:cs="Arial" w:ascii="Verdana" w:hAnsi="Verdana"/>
          <w:sz w:val="20"/>
          <w:szCs w:val="20"/>
          <w:shd w:fill="FFFFFF" w:val="clear"/>
        </w:rPr>
        <w:t>Salvo em decorrência de fato superveniente devidamente justificado, não mantiver a proposta em especial quando:</w:t>
      </w:r>
      <w:bookmarkEnd w:id="12"/>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20.1.2.2 Recusar-se a enviar o detalhamento da proposta quando exigível;</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rPr>
        <w:t xml:space="preserve">20.1.2.3 Pedir para ser desclassificado quando encerrada a etapa competitiva; ou </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20.1.2.4 Deixar de apresentar amostra;</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pPr>
        <w:pStyle w:val="Normal"/>
        <w:spacing w:lineRule="auto" w:line="276" w:before="57" w:after="57"/>
        <w:jc w:val="both"/>
        <w:rPr/>
      </w:pPr>
      <w:r>
        <w:rPr>
          <w:rFonts w:ascii="Verdana" w:hAnsi="Verdana"/>
          <w:sz w:val="20"/>
          <w:szCs w:val="20"/>
        </w:rPr>
        <w:t>20.1.5 F</w:t>
      </w:r>
      <w:bookmarkStart w:id="14" w:name="_Ref114668245"/>
      <w:r>
        <w:rPr>
          <w:rFonts w:ascii="Verdana" w:hAnsi="Verdana"/>
          <w:sz w:val="20"/>
          <w:szCs w:val="20"/>
        </w:rPr>
        <w:t>raudar a licitação</w:t>
      </w:r>
      <w:bookmarkEnd w:id="14"/>
    </w:p>
    <w:p>
      <w:pPr>
        <w:pStyle w:val="Normal"/>
        <w:spacing w:lineRule="auto" w:line="276" w:before="57" w:after="57"/>
        <w:jc w:val="both"/>
        <w:rPr/>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pPr>
        <w:pStyle w:val="Normal"/>
        <w:spacing w:lineRule="auto" w:line="276" w:before="57" w:after="57"/>
        <w:jc w:val="both"/>
        <w:rPr/>
      </w:pPr>
      <w:r>
        <w:rPr>
          <w:rFonts w:ascii="Verdana" w:hAnsi="Verdana"/>
          <w:sz w:val="20"/>
          <w:szCs w:val="20"/>
        </w:rPr>
        <w:t>20.1.6.1 Agir em conluio ou em desconformidade com a lei;</w:t>
      </w:r>
    </w:p>
    <w:p>
      <w:pPr>
        <w:pStyle w:val="Normal"/>
        <w:spacing w:lineRule="auto" w:line="276" w:before="57" w:after="57"/>
        <w:jc w:val="both"/>
        <w:rPr/>
      </w:pPr>
      <w:r>
        <w:rPr>
          <w:rFonts w:ascii="Verdana" w:hAnsi="Verdana"/>
          <w:sz w:val="20"/>
          <w:szCs w:val="20"/>
        </w:rPr>
        <w:t>20.1.6.2 Induzir deliberadamente a erro no julgamento;</w:t>
      </w:r>
    </w:p>
    <w:p>
      <w:pPr>
        <w:pStyle w:val="Normal"/>
        <w:spacing w:lineRule="auto" w:line="276" w:before="57" w:after="57"/>
        <w:jc w:val="both"/>
        <w:rPr/>
      </w:pPr>
      <w:r>
        <w:rPr>
          <w:rFonts w:ascii="Verdana" w:hAnsi="Verdana"/>
          <w:sz w:val="20"/>
          <w:szCs w:val="20"/>
        </w:rPr>
        <w:t>20.1.6.3 Apresentar amostra falsificada ou deteriorada;</w:t>
      </w:r>
    </w:p>
    <w:p>
      <w:pPr>
        <w:pStyle w:val="Normal"/>
        <w:spacing w:lineRule="auto" w:line="276" w:before="57" w:after="57"/>
        <w:jc w:val="both"/>
        <w:rPr/>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pPr>
        <w:pStyle w:val="Normal"/>
        <w:spacing w:lineRule="auto" w:line="276" w:before="57" w:after="57"/>
        <w:jc w:val="both"/>
        <w:rPr/>
      </w:pPr>
      <w:r>
        <w:rPr>
          <w:rFonts w:ascii="Verdana" w:hAnsi="Verdana"/>
          <w:sz w:val="20"/>
          <w:szCs w:val="20"/>
        </w:rPr>
        <w:t>20.1.8 P</w:t>
      </w:r>
      <w:bookmarkStart w:id="17" w:name="_Ref114668252"/>
      <w:r>
        <w:rPr>
          <w:rFonts w:ascii="Verdana" w:hAnsi="Verdana"/>
          <w:sz w:val="20"/>
          <w:szCs w:val="20"/>
        </w:rPr>
        <w:t xml:space="preserve">raticar ato lesivo previsto no </w:t>
      </w:r>
      <w:r>
        <w:fldChar w:fldCharType="begin"/>
      </w:r>
      <w:r>
        <w:rPr>
          <w:rStyle w:val="ListLabel195"/>
          <w:sz w:val="20"/>
          <w:szCs w:val="20"/>
          <w:rFonts w:ascii="Verdana" w:hAnsi="Verdana"/>
          <w:color w:val="000000"/>
        </w:rPr>
        <w:instrText xml:space="preserve"> HYPERLINK "https://www.planalto.gov.br/ccivil_03/_ato2011-2014/2013/lei/l12846.htm" \l "art5"</w:instrText>
      </w:r>
      <w:r>
        <w:rPr>
          <w:rStyle w:val="ListLabel195"/>
          <w:sz w:val="20"/>
          <w:szCs w:val="20"/>
          <w:rFonts w:ascii="Verdana" w:hAnsi="Verdana"/>
          <w:color w:val="000000"/>
        </w:rPr>
        <w:fldChar w:fldCharType="separate"/>
      </w:r>
      <w:r>
        <w:rPr>
          <w:rStyle w:val="ListLabel195"/>
          <w:rFonts w:ascii="Verdana" w:hAnsi="Verdana"/>
          <w:color w:val="000000"/>
          <w:sz w:val="20"/>
          <w:szCs w:val="20"/>
        </w:rPr>
        <w:t>art. 5º da Lei n.º 12.846, de 2013</w:t>
      </w:r>
      <w:r>
        <w:rPr>
          <w:rStyle w:val="ListLabel195"/>
          <w:sz w:val="20"/>
          <w:szCs w:val="20"/>
          <w:rFonts w:ascii="Verdana" w:hAnsi="Verdana"/>
          <w:color w:val="000000"/>
        </w:rPr>
        <w:fldChar w:fldCharType="end"/>
      </w:r>
      <w:r>
        <w:rPr>
          <w:rFonts w:ascii="Verdana" w:hAnsi="Verdana"/>
          <w:sz w:val="20"/>
          <w:szCs w:val="20"/>
        </w:rPr>
        <w:t>.</w:t>
      </w:r>
      <w:bookmarkEnd w:id="17"/>
    </w:p>
    <w:p>
      <w:pPr>
        <w:pStyle w:val="Nivel2"/>
        <w:numPr>
          <w:ilvl w:val="0"/>
          <w:numId w:val="0"/>
        </w:numPr>
        <w:spacing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57" w:after="57"/>
        <w:ind w:hanging="0" w:left="0"/>
        <w:rPr/>
      </w:pPr>
      <w:r>
        <w:rPr>
          <w:rFonts w:ascii="Verdana" w:hAnsi="Verdana"/>
        </w:rPr>
        <w:t>20.2.1 Advertência;</w:t>
      </w:r>
    </w:p>
    <w:p>
      <w:pPr>
        <w:pStyle w:val="Nivel2"/>
        <w:numPr>
          <w:ilvl w:val="0"/>
          <w:numId w:val="0"/>
        </w:numPr>
        <w:spacing w:before="57" w:after="57"/>
        <w:ind w:hanging="0" w:left="0"/>
        <w:rPr/>
      </w:pPr>
      <w:r>
        <w:rPr>
          <w:rFonts w:ascii="Verdana" w:hAnsi="Verdana"/>
        </w:rPr>
        <w:t>20.2.2 Multa;</w:t>
      </w:r>
    </w:p>
    <w:p>
      <w:pPr>
        <w:pStyle w:val="Nivel2"/>
        <w:numPr>
          <w:ilvl w:val="0"/>
          <w:numId w:val="0"/>
        </w:numPr>
        <w:spacing w:before="57" w:after="57"/>
        <w:ind w:hanging="0" w:left="0"/>
        <w:rPr/>
      </w:pPr>
      <w:r>
        <w:rPr>
          <w:rFonts w:ascii="Verdana" w:hAnsi="Verdana"/>
        </w:rPr>
        <w:t>20.2.3 Impedimento de licitar e contratar e</w:t>
      </w:r>
    </w:p>
    <w:p>
      <w:pPr>
        <w:pStyle w:val="Nivel2"/>
        <w:numPr>
          <w:ilvl w:val="0"/>
          <w:numId w:val="0"/>
        </w:numPr>
        <w:spacing w:before="57" w:after="57"/>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57" w:after="57"/>
        <w:ind w:hanging="0" w:left="0"/>
        <w:rPr/>
      </w:pPr>
      <w:r>
        <w:rPr>
          <w:rFonts w:ascii="Verdana" w:hAnsi="Verdana"/>
        </w:rPr>
        <w:t>20.3 Na aplicação das sanções serão considerados:</w:t>
      </w:r>
    </w:p>
    <w:p>
      <w:pPr>
        <w:pStyle w:val="Nivel2"/>
        <w:numPr>
          <w:ilvl w:val="0"/>
          <w:numId w:val="0"/>
        </w:numPr>
        <w:spacing w:before="57" w:after="57"/>
        <w:ind w:hanging="0" w:left="0"/>
        <w:rPr/>
      </w:pPr>
      <w:r>
        <w:rPr>
          <w:rFonts w:ascii="Verdana" w:hAnsi="Verdana"/>
        </w:rPr>
        <w:t>20.3.1 A natureza e a gravidade da infração cometida.</w:t>
      </w:r>
    </w:p>
    <w:p>
      <w:pPr>
        <w:pStyle w:val="Nivel2"/>
        <w:numPr>
          <w:ilvl w:val="0"/>
          <w:numId w:val="0"/>
        </w:numPr>
        <w:spacing w:before="57" w:after="57"/>
        <w:ind w:hanging="0" w:left="0"/>
        <w:rPr/>
      </w:pPr>
      <w:r>
        <w:rPr>
          <w:rFonts w:ascii="Verdana" w:hAnsi="Verdana"/>
        </w:rPr>
        <w:t>20.3.2 As peculiaridades do caso concreto</w:t>
      </w:r>
    </w:p>
    <w:p>
      <w:pPr>
        <w:pStyle w:val="Nivel2"/>
        <w:numPr>
          <w:ilvl w:val="0"/>
          <w:numId w:val="0"/>
        </w:numPr>
        <w:spacing w:before="57" w:after="57"/>
        <w:ind w:hanging="0" w:left="0"/>
        <w:rPr/>
      </w:pPr>
      <w:r>
        <w:rPr>
          <w:rFonts w:ascii="Verdana" w:hAnsi="Verdana"/>
        </w:rPr>
        <w:t>20.3.3 As circunstâncias agravantes ou atenuantes</w:t>
      </w:r>
    </w:p>
    <w:p>
      <w:pPr>
        <w:pStyle w:val="Nivel2"/>
        <w:numPr>
          <w:ilvl w:val="0"/>
          <w:numId w:val="0"/>
        </w:numPr>
        <w:spacing w:before="57" w:after="57"/>
        <w:ind w:hanging="0" w:left="0"/>
        <w:rPr/>
      </w:pPr>
      <w:r>
        <w:rPr>
          <w:rFonts w:ascii="Verdana" w:hAnsi="Verdana"/>
        </w:rPr>
        <w:t>20.3.4 Os danos que dela provierem para a Administração Pública</w:t>
      </w:r>
    </w:p>
    <w:p>
      <w:pPr>
        <w:pStyle w:val="Nivel2"/>
        <w:numPr>
          <w:ilvl w:val="0"/>
          <w:numId w:val="0"/>
        </w:numPr>
        <w:spacing w:before="57" w:after="57"/>
        <w:ind w:hanging="0" w:left="0"/>
        <w:rPr/>
      </w:pPr>
      <w:r>
        <w:rPr>
          <w:rFonts w:ascii="Verdana" w:hAnsi="Verdana"/>
        </w:rPr>
        <w:t>20.3.5 A implantação ou o aperfeiçoamento de programa de integridade, conforme normas e orientações dos órgãos de controle.</w:t>
      </w:r>
    </w:p>
    <w:p>
      <w:pPr>
        <w:pStyle w:val="Nivel2"/>
        <w:numPr>
          <w:ilvl w:val="0"/>
          <w:numId w:val="0"/>
        </w:numPr>
        <w:spacing w:before="57" w:after="57"/>
        <w:ind w:hanging="0" w:left="0"/>
        <w:rPr/>
      </w:pPr>
      <w:r>
        <w:rPr>
          <w:rFonts w:ascii="Verdana" w:hAnsi="Verdana"/>
        </w:rPr>
        <w:t xml:space="preserve">20.4 A multa será recolhida em percentual de 0,5% a 30% incidente sobre o valor do contrato licitado, recolhida no prazo máximo de </w:t>
      </w:r>
      <w:r>
        <w:rPr>
          <w:rFonts w:ascii="Verdana" w:hAnsi="Verdana"/>
          <w:b/>
          <w:bCs/>
          <w:color w:val="FF0000"/>
        </w:rPr>
        <w:t>15 (quinze) dias</w:t>
      </w:r>
      <w:r>
        <w:rPr>
          <w:rFonts w:ascii="Verdana" w:hAnsi="Verdana"/>
          <w:color w:val="FF0000"/>
        </w:rPr>
        <w:t xml:space="preserve"> </w:t>
      </w:r>
      <w:r>
        <w:rPr>
          <w:rFonts w:ascii="Verdana" w:hAnsi="Verdana"/>
        </w:rPr>
        <w:t>úteis, a contar da comunicação oficial.</w:t>
      </w:r>
    </w:p>
    <w:p>
      <w:pPr>
        <w:pStyle w:val="Nivel2"/>
        <w:numPr>
          <w:ilvl w:val="0"/>
          <w:numId w:val="0"/>
        </w:numPr>
        <w:spacing w:before="57" w:after="57"/>
        <w:ind w:hanging="0" w:left="0"/>
        <w:rPr/>
      </w:pPr>
      <w:r>
        <w:rPr>
          <w:rFonts w:ascii="Verdana" w:hAnsi="Verdana"/>
        </w:rPr>
        <w:t xml:space="preserve">20.4.1 </w:t>
      </w:r>
      <w:bookmarkStart w:id="18"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8"/>
    </w:p>
    <w:p>
      <w:pPr>
        <w:pStyle w:val="Nivel2"/>
        <w:numPr>
          <w:ilvl w:val="0"/>
          <w:numId w:val="0"/>
        </w:numPr>
        <w:spacing w:before="57" w:after="57"/>
        <w:ind w:hanging="0" w:left="0"/>
        <w:rPr/>
      </w:pPr>
      <w:r>
        <w:rPr>
          <w:rFonts w:ascii="Verdana" w:hAnsi="Verdana"/>
        </w:rPr>
        <w:t xml:space="preserve">20.4.2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pPr>
        <w:pStyle w:val="Nivel2"/>
        <w:numPr>
          <w:ilvl w:val="0"/>
          <w:numId w:val="0"/>
        </w:numPr>
        <w:spacing w:before="57" w:after="57"/>
        <w:ind w:hanging="0" w:lef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57" w:after="57"/>
        <w:ind w:hanging="0" w:lef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57" w:after="57"/>
        <w:ind w:hanging="0" w:lef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96"/>
          <w:rFonts w:ascii="Verdana" w:hAnsi="Verdana"/>
          <w:color w:val="000000"/>
        </w:rPr>
        <w:instrText xml:space="preserve"> HYPERLINK "http://www.planalto.gov.br/ccivil_03/_ato2019-2022/2021/lei/L14133.htm" \l "art156%C2%A75"</w:instrText>
      </w:r>
      <w:r>
        <w:rPr>
          <w:rStyle w:val="ListLabel196"/>
          <w:rFonts w:ascii="Verdana" w:hAnsi="Verdana"/>
          <w:color w:val="000000"/>
        </w:rPr>
        <w:fldChar w:fldCharType="separate"/>
      </w:r>
      <w:r>
        <w:rPr>
          <w:rStyle w:val="ListLabel196"/>
          <w:rFonts w:ascii="Verdana" w:hAnsi="Verdana"/>
          <w:color w:val="000000"/>
        </w:rPr>
        <w:t>art. 156, §5º, da Lei n.º 14.133/2021</w:t>
      </w:r>
      <w:r>
        <w:rPr>
          <w:rStyle w:val="ListLabel196"/>
          <w:rFonts w:ascii="Verdana" w:hAnsi="Verdana"/>
          <w:color w:val="000000"/>
        </w:rPr>
        <w:fldChar w:fldCharType="end"/>
      </w:r>
      <w:r>
        <w:rPr>
          <w:rFonts w:ascii="Verdana" w:hAnsi="Verdana"/>
        </w:rPr>
        <w:t>.</w:t>
      </w:r>
    </w:p>
    <w:p>
      <w:pPr>
        <w:pStyle w:val="Nivel2"/>
        <w:numPr>
          <w:ilvl w:val="0"/>
          <w:numId w:val="0"/>
        </w:numPr>
        <w:spacing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196"/>
            <w:rFonts w:ascii="Verdana" w:hAnsi="Verdana"/>
            <w:color w:val="000000"/>
          </w:rPr>
          <w:t>art. 45, §4º da IN SEGES/ME n.º 73, de 2022</w:t>
        </w:r>
      </w:hyperlink>
      <w:r>
        <w:rPr>
          <w:rFonts w:ascii="Verdana" w:hAnsi="Verdana"/>
        </w:rPr>
        <w:t xml:space="preserve">. </w:t>
      </w:r>
    </w:p>
    <w:p>
      <w:pPr>
        <w:pStyle w:val="Nivel2"/>
        <w:numPr>
          <w:ilvl w:val="0"/>
          <w:numId w:val="0"/>
        </w:numPr>
        <w:spacing w:before="57" w:after="57"/>
        <w:ind w:hanging="0" w:lef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57" w:after="57"/>
        <w:ind w:hanging="0" w:lef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57" w:after="57"/>
        <w:ind w:hanging="0" w:lef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57" w:after="57"/>
        <w:ind w:hanging="0" w:lef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57" w:after="57"/>
        <w:ind w:hanging="0" w:left="0"/>
        <w:rPr/>
      </w:pPr>
      <w:r>
        <w:rPr>
          <w:rFonts w:cs="Arial" w:ascii="Verdana" w:hAnsi="Verdana"/>
          <w:shd w:fill="FFFFFF" w:val="clear"/>
        </w:rPr>
        <w:t>20.13 A aplicação das sanções previstas neste edital não exclui, em hipótese alguma, a obrigação de reparação integral dos danos causados.</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21. DA IMPUGNAÇÃO AO EDITAL E DO PEDIDO DE ESCLARECIMENTO</w:t>
      </w:r>
    </w:p>
    <w:p>
      <w:pPr>
        <w:pStyle w:val="ListParagraph"/>
        <w:spacing w:lineRule="auto" w:line="276" w:before="57" w:after="57"/>
        <w:ind w:hanging="0" w:lef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1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hanging="0" w:lef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hanging="0" w:lef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hanging="0" w:lef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hanging="0" w:lef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hanging="0" w:lef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hanging="0" w:lef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22. DAS DISPOSIÇÕES GERAIS</w:t>
      </w:r>
    </w:p>
    <w:p>
      <w:pPr>
        <w:pStyle w:val="Normal"/>
        <w:spacing w:lineRule="auto" w:line="276" w:before="57" w:after="57"/>
        <w:jc w:val="both"/>
        <w:rPr/>
      </w:pPr>
      <w:r>
        <w:rPr>
          <w:rFonts w:cs="Arial" w:ascii="Verdana" w:hAnsi="Verdana"/>
          <w:color w:val="000000"/>
          <w:sz w:val="20"/>
          <w:szCs w:val="20"/>
        </w:rPr>
        <w:t>22.1 Da sessão pública do Pregão divulgar-se-á Ata no sistema eletrônico.</w:t>
      </w:r>
    </w:p>
    <w:p>
      <w:pPr>
        <w:pStyle w:val="Normal"/>
        <w:spacing w:lineRule="auto" w:line="276" w:before="57" w:after="57"/>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color w:val="000000"/>
          <w:sz w:val="20"/>
          <w:szCs w:val="20"/>
          <w:u w:val="single"/>
        </w:rPr>
        <w:t xml:space="preserve">Portal de Compras Públicas – </w:t>
      </w:r>
      <w:hyperlink r:id="rId11">
        <w:bookmarkStart w:id="19" w:name="_Hlk123138684_Copia_1"/>
        <w:r>
          <w:rPr>
            <w:rStyle w:val="ListLabel190"/>
            <w:rFonts w:cs="Arial" w:ascii="Verdana" w:hAnsi="Verdana"/>
            <w:b/>
            <w:bCs/>
            <w:color w:val="0563C1"/>
            <w:sz w:val="20"/>
            <w:szCs w:val="20"/>
            <w:u w:val="single"/>
          </w:rPr>
          <w:t>www.portaldecompraspublicas.com.br</w:t>
        </w:r>
      </w:hyperlink>
      <w:bookmarkEnd w:id="19"/>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2">
        <w:r>
          <w:rPr>
            <w:rStyle w:val="ListLabel193"/>
            <w:rFonts w:ascii="Verdana" w:hAnsi="Verdana"/>
            <w:color w:val="000080"/>
            <w:sz w:val="20"/>
            <w:szCs w:val="20"/>
            <w:u w:val="single"/>
          </w:rPr>
          <w:t>licitacao@</w:t>
        </w:r>
      </w:hyperlink>
      <w:hyperlink r:id="rId13">
        <w:r>
          <w:rPr>
            <w:rStyle w:val="ListLabel193"/>
            <w:rFonts w:ascii="Verdana" w:hAnsi="Verdana"/>
            <w:color w:val="000080"/>
            <w:sz w:val="20"/>
            <w:szCs w:val="20"/>
            <w:u w:val="single"/>
          </w:rPr>
          <w:t>saogabriel</w:t>
        </w:r>
      </w:hyperlink>
      <w:hyperlink r:id="rId14">
        <w:r>
          <w:rPr>
            <w:rStyle w:val="ListLabel1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76" w:before="57" w:after="57"/>
        <w:jc w:val="both"/>
        <w:rPr/>
      </w:pPr>
      <w:r>
        <w:rPr>
          <w:rFonts w:cs="Arial" w:ascii="Verdana" w:hAnsi="Verdana"/>
          <w:color w:val="000000"/>
          <w:sz w:val="20"/>
          <w:szCs w:val="20"/>
        </w:rPr>
        <w:t>22.12 Integram este Edital, para todos os fins e efeitos, os seguintes anexos</w:t>
      </w:r>
    </w:p>
    <w:p>
      <w:pPr>
        <w:pStyle w:val="Normal"/>
        <w:spacing w:lineRule="auto" w:line="276" w:before="57" w:after="57"/>
        <w:jc w:val="both"/>
        <w:rPr/>
      </w:pPr>
      <w:r>
        <w:rPr>
          <w:rFonts w:cs="Arial" w:ascii="Verdana" w:hAnsi="Verdana"/>
          <w:color w:val="000000"/>
          <w:sz w:val="20"/>
          <w:szCs w:val="20"/>
        </w:rPr>
        <w:t>22.12.1 ANEXO I – Termo de Referência;</w:t>
      </w:r>
    </w:p>
    <w:p>
      <w:pPr>
        <w:pStyle w:val="Normal"/>
        <w:spacing w:lineRule="auto" w:line="276" w:before="57" w:after="57"/>
        <w:jc w:val="both"/>
        <w:rPr/>
      </w:pPr>
      <w:r>
        <w:rPr>
          <w:rFonts w:cs="Arial" w:ascii="Verdana" w:hAnsi="Verdana"/>
          <w:color w:val="000000"/>
          <w:sz w:val="20"/>
          <w:szCs w:val="20"/>
        </w:rPr>
        <w:t>22.12.1.1 ANEXO I-1 – Estudo Técnico Preliminar;</w:t>
      </w:r>
    </w:p>
    <w:p>
      <w:pPr>
        <w:pStyle w:val="Normal"/>
        <w:tabs>
          <w:tab w:val="clear" w:pos="720"/>
          <w:tab w:val="left" w:pos="800" w:leader="none"/>
        </w:tabs>
        <w:snapToGrid w:val="false"/>
        <w:spacing w:lineRule="auto" w:line="276" w:before="57" w:after="57"/>
        <w:jc w:val="both"/>
        <w:rPr/>
      </w:pPr>
      <w:r>
        <w:rPr>
          <w:rFonts w:cs="Arial" w:ascii="Verdana" w:hAnsi="Verdana"/>
          <w:color w:val="000000"/>
          <w:sz w:val="20"/>
          <w:szCs w:val="20"/>
        </w:rPr>
        <w:t>22.12.2 ANEXO II – Modelo Orientativo de Proposta;</w:t>
      </w:r>
    </w:p>
    <w:p>
      <w:pPr>
        <w:pStyle w:val="Normal"/>
        <w:tabs>
          <w:tab w:val="clear" w:pos="720"/>
          <w:tab w:val="left" w:pos="800" w:leader="none"/>
        </w:tabs>
        <w:snapToGrid w:val="false"/>
        <w:spacing w:lineRule="auto" w:line="276" w:before="57" w:after="57"/>
        <w:jc w:val="both"/>
        <w:rPr/>
      </w:pPr>
      <w:r>
        <w:rPr>
          <w:rFonts w:cs="Arial" w:ascii="Verdana" w:hAnsi="Verdana"/>
          <w:color w:val="000000"/>
          <w:sz w:val="20"/>
          <w:szCs w:val="20"/>
        </w:rPr>
        <w:t>22.12.3 ANEXO III – Minuta de Contrato;</w:t>
      </w:r>
    </w:p>
    <w:p>
      <w:pPr>
        <w:pStyle w:val="Normal"/>
        <w:tabs>
          <w:tab w:val="clear" w:pos="720"/>
          <w:tab w:val="left" w:pos="800" w:leader="none"/>
        </w:tabs>
        <w:snapToGrid w:val="false"/>
        <w:spacing w:lineRule="auto" w:line="276" w:before="57" w:after="57"/>
        <w:jc w:val="both"/>
        <w:rPr/>
      </w:pPr>
      <w:r>
        <w:rPr>
          <w:rFonts w:cs="Arial" w:ascii="Verdana" w:hAnsi="Verdana"/>
          <w:color w:val="000000"/>
          <w:sz w:val="20"/>
          <w:szCs w:val="20"/>
        </w:rPr>
        <w:t>22.12.4 ANEXO IV – Cronograma de Entrega.</w:t>
      </w:r>
    </w:p>
    <w:p>
      <w:pPr>
        <w:pStyle w:val="Normal"/>
        <w:tabs>
          <w:tab w:val="clear" w:pos="720"/>
          <w:tab w:val="left" w:pos="800" w:leader="none"/>
        </w:tabs>
        <w:snapToGrid w:val="false"/>
        <w:spacing w:lineRule="auto" w:line="276" w:before="57" w:after="57"/>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pPr>
      <w:r>
        <w:rPr>
          <w:rFonts w:cs="Arial" w:ascii="Verdana" w:hAnsi="Verdana"/>
          <w:color w:val="000000"/>
          <w:sz w:val="20"/>
          <w:szCs w:val="20"/>
        </w:rPr>
        <w:t>São Gabriel da Palha/ES, 06 de maio de 2025.</w:t>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numPr>
          <w:ilvl w:val="0"/>
          <w:numId w:val="0"/>
        </w:numPr>
        <w:tabs>
          <w:tab w:val="clear" w:pos="720"/>
          <w:tab w:val="left" w:pos="567" w:leader="none"/>
        </w:tabs>
        <w:spacing w:lineRule="auto" w:line="276" w:before="57" w:after="57"/>
        <w:ind w:hanging="0" w:left="0"/>
        <w:jc w:val="center"/>
        <w:outlineLvl w:val="0"/>
        <w:rPr/>
      </w:pPr>
      <w:r>
        <w:rPr>
          <w:rFonts w:eastAsia="" w:cs="Arial" w:ascii="Verdana" w:hAnsi="Verdana" w:eastAsiaTheme="majorEastAsia"/>
          <w:b/>
          <w:bCs/>
          <w:color w:val="000000"/>
          <w:sz w:val="20"/>
          <w:szCs w:val="20"/>
        </w:rPr>
        <w:t>JANE LISLIE MARTINELLI DOS SANTOS</w:t>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pPr>
      <w:r>
        <w:rPr>
          <w:rFonts w:eastAsia="" w:cs="Arial" w:ascii="Verdana" w:hAnsi="Verdana" w:eastAsiaTheme="majorEastAsia"/>
          <w:b/>
          <w:bCs/>
          <w:color w:val="000000"/>
          <w:sz w:val="20"/>
          <w:szCs w:val="20"/>
        </w:rPr>
        <w:t>Secretária Municipal de Educação</w:t>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701" w:right="1134" w:gutter="0" w:header="517" w:top="1767" w:footer="158" w:bottom="82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Verdana">
    <w:charset w:val="00"/>
    <w:family w:val="roman"/>
    <w:pitch w:val="variable"/>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2">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2">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bullet"/>
      <w:lvlText w:val=""/>
      <w:lvlJc w:val="left"/>
      <w:pPr>
        <w:tabs>
          <w:tab w:val="num" w:pos="788"/>
        </w:tabs>
        <w:ind w:left="788" w:hanging="360"/>
      </w:pPr>
      <w:rPr>
        <w:rFonts w:ascii="Wingdings" w:hAnsi="Wingdings" w:cs="Wingdings" w:hint="default"/>
        <w:sz w:val="19"/>
        <w:szCs w:val="19"/>
      </w:rPr>
    </w:lvl>
    <w:lvl w:ilvl="1">
      <w:start w:val="1"/>
      <w:numFmt w:val="bullet"/>
      <w:lvlText w:val="◦"/>
      <w:lvlJc w:val="left"/>
      <w:pPr>
        <w:tabs>
          <w:tab w:val="num" w:pos="1148"/>
        </w:tabs>
        <w:ind w:left="1148" w:hanging="360"/>
      </w:pPr>
      <w:rPr>
        <w:rFonts w:ascii="OpenSymbol" w:hAnsi="OpenSymbol" w:cs="OpenSymbol" w:hint="default"/>
        <w:sz w:val="19"/>
        <w:szCs w:val="19"/>
      </w:rPr>
    </w:lvl>
    <w:lvl w:ilvl="2">
      <w:start w:val="1"/>
      <w:numFmt w:val="bullet"/>
      <w:lvlText w:val="▪"/>
      <w:lvlJc w:val="left"/>
      <w:pPr>
        <w:tabs>
          <w:tab w:val="num" w:pos="1508"/>
        </w:tabs>
        <w:ind w:left="1508" w:hanging="360"/>
      </w:pPr>
      <w:rPr>
        <w:rFonts w:ascii="OpenSymbol" w:hAnsi="OpenSymbol" w:cs="OpenSymbol" w:hint="default"/>
        <w:sz w:val="19"/>
        <w:szCs w:val="19"/>
      </w:rPr>
    </w:lvl>
    <w:lvl w:ilvl="3">
      <w:start w:val="1"/>
      <w:numFmt w:val="bullet"/>
      <w:lvlText w:val=""/>
      <w:lvlJc w:val="left"/>
      <w:pPr>
        <w:tabs>
          <w:tab w:val="num" w:pos="1868"/>
        </w:tabs>
        <w:ind w:left="1868" w:hanging="360"/>
      </w:pPr>
      <w:rPr>
        <w:rFonts w:ascii="Symbol" w:hAnsi="Symbol" w:cs="Symbol" w:hint="default"/>
        <w:sz w:val="19"/>
        <w:szCs w:val="19"/>
      </w:rPr>
    </w:lvl>
    <w:lvl w:ilvl="4">
      <w:start w:val="1"/>
      <w:numFmt w:val="bullet"/>
      <w:lvlText w:val="◦"/>
      <w:lvlJc w:val="left"/>
      <w:pPr>
        <w:tabs>
          <w:tab w:val="num" w:pos="2228"/>
        </w:tabs>
        <w:ind w:left="2228" w:hanging="360"/>
      </w:pPr>
      <w:rPr>
        <w:rFonts w:ascii="OpenSymbol" w:hAnsi="OpenSymbol" w:cs="OpenSymbol" w:hint="default"/>
        <w:sz w:val="19"/>
        <w:szCs w:val="19"/>
      </w:rPr>
    </w:lvl>
    <w:lvl w:ilvl="5">
      <w:start w:val="1"/>
      <w:numFmt w:val="bullet"/>
      <w:lvlText w:val="▪"/>
      <w:lvlJc w:val="left"/>
      <w:pPr>
        <w:tabs>
          <w:tab w:val="num" w:pos="2588"/>
        </w:tabs>
        <w:ind w:left="2588" w:hanging="360"/>
      </w:pPr>
      <w:rPr>
        <w:rFonts w:ascii="OpenSymbol" w:hAnsi="OpenSymbol" w:cs="OpenSymbol" w:hint="default"/>
        <w:sz w:val="19"/>
        <w:szCs w:val="19"/>
      </w:rPr>
    </w:lvl>
    <w:lvl w:ilvl="6">
      <w:start w:val="1"/>
      <w:numFmt w:val="bullet"/>
      <w:lvlText w:val=""/>
      <w:lvlJc w:val="left"/>
      <w:pPr>
        <w:tabs>
          <w:tab w:val="num" w:pos="2948"/>
        </w:tabs>
        <w:ind w:left="2948" w:hanging="360"/>
      </w:pPr>
      <w:rPr>
        <w:rFonts w:ascii="Symbol" w:hAnsi="Symbol" w:cs="Symbol" w:hint="default"/>
        <w:sz w:val="19"/>
        <w:szCs w:val="19"/>
      </w:rPr>
    </w:lvl>
    <w:lvl w:ilvl="7">
      <w:start w:val="1"/>
      <w:numFmt w:val="bullet"/>
      <w:lvlText w:val="◦"/>
      <w:lvlJc w:val="left"/>
      <w:pPr>
        <w:tabs>
          <w:tab w:val="num" w:pos="3308"/>
        </w:tabs>
        <w:ind w:left="3308" w:hanging="360"/>
      </w:pPr>
      <w:rPr>
        <w:rFonts w:ascii="OpenSymbol" w:hAnsi="OpenSymbol" w:cs="OpenSymbol" w:hint="default"/>
        <w:sz w:val="19"/>
        <w:szCs w:val="19"/>
      </w:rPr>
    </w:lvl>
    <w:lvl w:ilvl="8">
      <w:start w:val="1"/>
      <w:numFmt w:val="bullet"/>
      <w:lvlText w:val="▪"/>
      <w:lvlJc w:val="left"/>
      <w:pPr>
        <w:tabs>
          <w:tab w:val="num" w:pos="3668"/>
        </w:tabs>
        <w:ind w:left="3668" w:hanging="360"/>
      </w:pPr>
      <w:rPr>
        <w:rFonts w:ascii="OpenSymbol" w:hAnsi="OpenSymbol" w:cs="OpenSymbol" w:hint="default"/>
        <w:sz w:val="19"/>
        <w:szCs w:val="19"/>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qFormat/>
    <w:rPr>
      <w:color w:val="000080"/>
      <w:u w:val="single"/>
    </w:rPr>
  </w:style>
  <w:style w:type="character" w:styleId="Hyperlink2" w:customStyle="1">
    <w:name w:val="Hyperlink2"/>
    <w:basedOn w:val="DefaultParagraphFont"/>
    <w:qFormat/>
    <w:rsid w:val="00d832df"/>
    <w:rPr>
      <w:color w:val="0563C1"/>
      <w:u w:val="single"/>
    </w:rPr>
  </w:style>
  <w:style w:type="character" w:styleId="Marcadores" w:customStyle="1">
    <w:name w:val="Marcadores"/>
    <w:qFormat/>
    <w:rPr>
      <w:rFonts w:ascii="OpenSymbol" w:hAnsi="OpenSymbol" w:eastAsia="OpenSymbol" w:cs="OpenSymbol"/>
      <w:sz w:val="19"/>
      <w:szCs w:val="19"/>
    </w:rPr>
  </w:style>
  <w:style w:type="character" w:styleId="InternetLink1">
    <w:name w:val="Internet Link1"/>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http://www.portaldecompraspublicas.com.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173</TotalTime>
  <Application>LibreOffice/24.2.6.2$Windows_X86_64 LibreOffice_project/ef66aa7e36a1bb8e65bfbc63aba53045a14d0871</Application>
  <AppVersion>15.0000</AppVersion>
  <Pages>21</Pages>
  <Words>9709</Words>
  <Characters>54895</Characters>
  <CharactersWithSpaces>64199</CharactersWithSpaces>
  <Paragraphs>363</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2024-07-11T17:34:00Z</dcterms:created>
  <dc:creator>Compras</dc:creator>
  <dc:description/>
  <dc:language>pt-BR</dc:language>
  <cp:lastModifiedBy/>
  <cp:lastPrinted>2025-05-06T15:15:11Z</cp:lastPrinted>
  <dcterms:modified xsi:type="dcterms:W3CDTF">2025-05-28T13:50:15Z</dcterms:modified>
  <cp:revision>13</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